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RR.2018.112 vom 17. August 2018</w:t>
      </w:r>
    </w:p>
    <w:p>
      <w:r>
        <w:t>Bundesstrafgericht, 2018-08-17, DE</w:t>
      </w:r>
    </w:p>
    <w:p>
      <w:r>
        <w:rPr>
          <w:b/>
        </w:rPr>
        <w:t xml:space="preserve">Quelle: </w:t>
      </w:r>
      <w:r>
        <w:t>https://mcp.opencaselaw.ch/entscheid/bstger_RR.2018.112</w:t>
      </w:r>
    </w:p>
    <w:p>
      <w:r>
        <w:t>FR: TPF RR.2018.112 du 17 août 2018</w:t>
      </w:r>
    </w:p>
    <w:p>
      <w:r>
        <w:t>IT: TPF RR.2018.112 del 17 agosto 2018</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 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Abl. L 239 vom 22. September 2000, S. 19-62) zur Anwendung (TPF 2009 111 E. 1.2 S. 113). Im Verhältnis zu Deutschland sind ebenfalls in Kraft getreten die Bestimmungen des Abkommens vom 26. Oktober 2004 über die Zusammen- arbeit zwischen der Schweizerischen Eidgenossenschaft einerseits und der</w:t>
      </w:r>
    </w:p>
    <w:p>
      <w:r>
        <w:t>- 5 -</w:t>
      </w:r>
    </w:p>
    <w:p>
      <w:r>
        <w:t>Europäischen Gemeinschaft und ihren Mitgliedstaaten andererseits zur Be- kämpfung von Betrug und sonstigen rechtswidrigen Handlungen, die ihre fi- nanziellen Interessen beeinträchtigen (BBA; SR 0.351.926.81). Günstigere Bestimmungen bilateraler oder multilateraler Übereinkünfte zwischen den Vertragsparteien bleiben unberührt (Art. 48 Abs. 2 SDÜ; Art. 26 Abs. 2 und</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2016 65 E. 1.2). Auf Beschwerdeverfahren in internationalen Rechtshil- feangelegenheiten sind zudem die Bestimmungen des Bundesgesetzes vom 20. Dezember 1968 über das Verwaltungsverfahren (Verwaltungsverfah- rensgesetz, VwVG; SR 172.021) anwendbar (Art. 39 Abs. 2 lit. b i.V.m. Art. 37 Abs. 2 lit. a Ziff. 1 StBOG), wenn das IRSG nichts anderes bestimmt (siehe Art. 12 Abs. 1 IRSG).</w:t>
      </w:r>
    </w:p>
    <w:p>
      <w:r>
        <w:t>2.</w:t>
      </w:r>
    </w:p>
    <w:p>
      <w:r>
        <w:t>2.1 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Kontoinformationen sowie der Eigentümer oder der Mieter bei Haus- durchsuchungen (Art. 9a lit. a und b IRSV). Wer in der Ausführung eines internationalen Rechtshilfeersuchens als beschuldigte Person einvernom- men wird, ist legitimiert, die Schlussverfügung anzufechten, mit welcher das Protokoll seiner Einvernahme herausgegeben wird (TPF 2016 129 E. 1.5.2 S. 133; TPF 2013 84 E. 2.2 S. 86; Entscheide des Bundesstrafgerichts RR.2018.126 vom 7. Juni 2018 E. 1.5.2; RR.2016.153 vom 15. März 2017 E. 1.4; RR.2015.216 vom 5. November 2015 E. 3.2).</w:t>
      </w:r>
    </w:p>
    <w:p>
      <w:r>
        <w:t>- 6 -</w:t>
      </w:r>
    </w:p>
    <w:p>
      <w:r>
        <w:t>2.2</w:t>
      </w:r>
    </w:p>
    <w:p>
      <w:r>
        <w:t>2.2.1 Die angefochtene Schlussverfügung umfasst verschiedene Dokumente und elektronische Daten, welche anlässlich der Hausdurchsuchung in den Ge- schäftsräumlichkeiten der Beschwerdeführerin 1 sichergestellt wurden (siehe im Einzelnen act. 7.11, S. 2 und 3). Zudem ist sie Inhaberin des von der Schlussverfügung betroffenen Kontos Nr. 2 bei der Bank E. AG (act. 7.11, S. 4; Editionsakten K2). In diesem Umfang ist auf die Beschwerde der Beschwerdeführerin 1 einzutreten.</w:t>
      </w:r>
    </w:p>
    <w:p>
      <w:r>
        <w:t>2.2.2 Die angefochtene Schlussverfügung umfasst weiter elektronische Daten, welche anlässlich der Durchsuchung der Wohnräumlichkeiten des Be- schwerdeführers 2 sichergestellt wurden (siehe im Einzelnen act. 7.11, S. 1). Dieser wurde zudem am 28. Juni 2016 im Rahmen des Rechtshilfeverfah- rens als Beschuldigter einvernommen (act. 7.12), weshalb er auch zur Be- schwerde gegen die Herausgabe des entsprechenden Einvernahmeproto- kolls legitimiert ist. Auf die Beschwerde des Beschwerdeführers 2 ist in die- sem Umfang einzutreten.</w:t>
      </w:r>
    </w:p>
    <w:p>
      <w:r>
        <w:t>2.2.3 Der Beschwerdeführer 3 ist Inhaber des von der Schlussverfügung betroffe- nen Kontos Nr. 1 bei der Bank E. AG (act. 7.11, S. 4; Editionsakten K1). In diesem Umfang ist auf dessen Beschwerde einzutreten.</w:t>
      </w:r>
    </w:p>
    <w:p>
      <w:r>
        <w:t>2.2.4 Die Beschwerdeführerin 4 ist Inhaberin des von der Schlussverfügung be- troffenen Kontos Nr. 3 bei der Bank E. AG (act. 7.11, S. 4; Editionsakten K3). Auf die Beschwerde der Beschwerdeführerin 4 ist in diesem Umfang einzu- 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 machen geltend, die Beschwerdegegnerin habe ihre gemeinsame Stellungnahme vom 27. Februar 2017 an die ersuchende Be- hörde übermittelt. Damit habe die Beschwerdegegnerin die Verteidigungs- rechte der Beschuldigten eingeschränkt und Bundesrecht verletzt. Das BJ</w:t>
      </w:r>
    </w:p>
    <w:p>
      <w:r>
        <w:t>- 7 -</w:t>
      </w:r>
    </w:p>
    <w:p>
      <w:r>
        <w:t>sei daher einzuladen, sich beim ersuchenden Staat um Rückgabe dieser Stellungnahme und um Unterlassung von deren Verwendung zu bemühen (act. 11, Rz. 1 ff., 25).</w:t>
      </w:r>
    </w:p>
    <w:p>
      <w:r>
        <w:rPr>
          <w:b/>
        </w:rPr>
        <w:t>E. 4.2</w:t>
      </w:r>
    </w:p>
    <w:p>
      <w:r>
        <w:t>Beim Rechtshilfeverfahren handelt es sich um ein internes schweizerisches Verfahren. Dem ersuchenden Staat kommt dabei grundsätzlich keine Partei- stellung zu (BGE 129 II 453 E. 2.2.1; 125 II 411 E. 3a; ZIMMERMANN, La coopération judiciaire internationale en matière pénale, 4. Aufl. 2014, N. 320). Entsprechend dürfen dem ersuchenden Staat weder die Eintretens- und die Schlussverfügung der Vollzugsbehörden noch die an die Vollzugs- behörden oder an die Beschwerdeinstanz gerichteten Eingaben der Parteien herausgegeben werden, da dadurch die Verteidigungsrechte der Betroffe- nen eingeschränkt werden (Urteil des Bundesgerichts 1A.43/2003 vom 23. April 2003 E. 3.2; Entscheide des Bundesstrafgerichts RR.2017.309 vom</w:t>
      </w:r>
    </w:p>
    <w:p>
      <w:r>
        <w:rPr>
          <w:b/>
        </w:rPr>
        <w:t>E. 4.3</w:t>
      </w:r>
    </w:p>
    <w:p>
      <w:r>
        <w:t>Die Beschwerdegegnerin übermittelte der ersuchenden Behörde am 25. September 2017 die im Rahmen des Rechtshilfeverfahrens für die Be- schwerdeführer eingereichte Stellungnahme vom 27. Februar 2017, damit diese ihr Rechtshilfeersuchen allenfalls noch präzisieren oder ergänzen möge (act. 7.9). Dieses Vorgehen stellt einen klaren Verstoss gegen die zu- vor erläuterten Regeln dar. Das BJ ist entsprechend einzuladen, sich bei der Staatsanwaltschaft Bonn um Rücksendung dieser Eingabe, um Vernichtung allfälliger Kopien und um Unterlassung von deren Verwendung zu bemühen.</w:t>
      </w:r>
    </w:p>
    <w:p>
      <w:r>
        <w:t>5.</w:t>
      </w:r>
    </w:p>
    <w:p>
      <w:r>
        <w:t>5.1 Wie den Akten zu entnehmen ist, wurde den Beschwerdeführern im An- schluss an deren Stellungnahme vom 27. Februar 2017 aber auch das Schreiben der Beschwerdegegnerin an die ESTV vom 25. September 2017 (act. 7.6) und deren diesbezügliche Antwort vom 25. Oktober 2017 (act. 7.7) vorenthalten (act. 9). Nichtsdestotrotz hat die Beschwerdegegnerin im Rah- men ihrer Schlussverfügung die Ausführungen der ESTV zur Argumentation der Beschwerdeführer beinahe im Wortlaut übernommen (vgl. act. 7.7 und act. 7.8, S. 4 f.).</w:t>
      </w:r>
    </w:p>
    <w:p>
      <w:r>
        <w:t>- 8 -</w:t>
      </w:r>
    </w:p>
    <w:p>
      <w:r>
        <w:t>5.2</w:t>
      </w:r>
    </w:p>
    <w:p>
      <w:r>
        <w:t>5.2.1 Gemäss Art. 29 Abs. 2 BV haben die Parteien Anspruch auf rechtliches Ge- hör. Für Gerichtsverfahren, die auch Art. 6 Abs. 1 EMRK unterliegen, um- fasst diese Garantie auch das Recht, von den beim Gericht eingereichten Stellungnahmen Kenntnis zu erhalten und sich dazu äussern zu können (sog. Replikrecht). Die Wahrnehmung des Replikrechts setzt voraus, dass die fragliche Eingabe der Partei zugestellt wird. Das Bundesgericht hat hierzu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(BGE 137 I 195 E. 2.3.1 m.w.H.). In einem weiteren Urteil befand das Bundesgericht jedoch, es bestehe kein Anlass, aus Art. 29 BV ein Recht auf Kenntnisnahme von und Stellungnahme zu Ein- gaben der übrigen Verfahrensbeteiligten auch im Verfahren vor anderen als gerichtlichen Behörden abzuleiten (BGE 138 I 154 E. 2.5 S. 158; hierzu kri- tisch LANTER, Zum Replikrecht vor Verwaltungsinstanzen, in: Jusletter 18. Juni 2012). Immerhin aber ergibt sich gemäss Bundesgericht aus dem verfassungsmässigen Anspruch auf rechtliches Gehör in den Verfahren vor Verwaltungs- und Gerichtsbehörden, mithin allen Arten von Verfahren, die durch individuell-konkrete Anordnung abzuschliessen sind, das Recht, sich zu Eingaben von Vorinstanz oder Gegenpartei («Vernehmlassung», «Stel- lungnahme» und dergleichen) zu äussern, soweit die darin vorgebrachten Noven prozessual zulässig und materiell geeignet sind, den Entscheid zu beeinflussen (sog. Replikrecht i.e.S.; BGE 138 I 154 E. 2.3.2 m.w.H.).</w:t>
      </w:r>
    </w:p>
    <w:p>
      <w:r>
        <w:t>5.2.2 Die Beschwerdekammer entscheidet bei Beschwerden in Rechtshilfeange- legenheiten mit umfassender Kognition (TPF 2007 57 E. 3.2; vgl. zuletzt auch den Entscheid des Bundesstrafgerichts RR.2017.329 vom 8. Mai 2018 E. 3.7). Das Verfahren vor der Beschwerdekammer erlaubt demnach grund- sätzlich die Heilung von Verletzungen des rechtlichen Gehörs, welche durch die ausführenden Behörden begangen wurden. Allerdings kommt eine nach- trägliche Heilung nur ausnahmsweise in Frage. Die erstinstanzliche Behörde darf nicht darauf vertrauen, dass von ihr missachtete Verfahrensrechte sys- tematisch nachträglich geheilt werden, ansonsten die gerade für das erstin- stanzliche Verfahren vorgesehenen prozessualen Garantien ihren Sinn ver- lieren (BGE 126 II 111 E. 6b/aa S. 123 f. m.w.H.).</w:t>
      </w:r>
    </w:p>
    <w:p>
      <w:r>
        <w:t>5.3 Das oben geschilderte Vorgehen der Beschwerdegegnerin (siehe E. 5.1) stellt eine offensichtliche Verletzung des Replikrechts i.e.S. dar. Da die Be- schwerdekammer im Beschwerdeverfahren über volle Kognition verfügt und</w:t>
      </w:r>
    </w:p>
    <w:p>
      <w:r>
        <w:t>- 9 -</w:t>
      </w:r>
    </w:p>
    <w:p>
      <w:r>
        <w:t>die Beschwerdeführer bereits in der Beschwerdeschrift zu den von der Be- schwerdegegnerin übernommenen Ausführungen der ESTV Stellung neh- men konnten (siehe act. 11, Rz. 20), bewirkte die festgestellte Gehörsverlet- zung auf Seiten der Beschwerdeführer keinen schwer wiegenden Nachteil. Unter diesen Umständen ist die Verletzung des rechtlichen Gehörs im vor- liegenden Beschwerdeverfahren geheilt worden. Soweit den Beschwerde- führern die Kosten für dieses Verfahren aufzuerlegen sein werden, wird bei deren Festlegung der vorinstanzlichen Gehörsverletzung Rechnung zu tra- gen sein (TPF 2008 172 E. 6; vgl. auch das Urteil des Bundesgerichts 1B_334/2018 vom 30. Juli 2018 E. 2.5-2.6).</w:t>
      </w:r>
    </w:p>
    <w:p>
      <w:r>
        <w:t>6. Dem eingangs erwähnten Rechtshilfeersuchen liegt nachfolgender Sachver- halt zu Grunde: Dem beschuldigten Beschwerdeführer 3 wird zusammenge- fasst vorgeworfen, im Rahmen einer komplexen internationalen Konzern- struktur und unter Verwendung von vermeintlich im Ausland ansässigen Scheinfirmen, welche jedoch tatsächlich von ihm aus Deutschland heraus verantwortlich geführt worden seien, über Jahre hinweg Ertragssteuern und Umsatzsteuern hinterzogen zu haben. Gegenstand des Unternehmens sei der weltweite Vertrieb von Amuletten und sonstigen Glücksbringern, Schrift- werken, Horoskopen und sonstigen Dienstleistungen auf dem Gebiet der Astrologie, Wahrsagung und Lebensberatung.</w:t>
      </w:r>
    </w:p>
    <w:p>
      <w:r>
        <w:t>Das Vertriebssystem unterteile sich in drei Ebenen. Auf der ersten Ebene befinde sich die Beschwerdeführerin 1 mit formalem Firmensitz in der Schweiz. Diese vergebe Lizenzrechte an Lizenzfirmen auf der zweiten Ebene. Hieraus erziele sie Einnahmen. Nach bisherigen Erkenntnissen werde sie faktisch vom beschuldigten Beschwerdeführer 3 verantwortlich von Deutschland aus geführt. Die Gewinne aus Lizenzvergaben und die Um- sätze (soweit Lizenzvergaben an faktisch in Deutschland ansässige Lizenz- firmen auf der zweiten Ebene erfolgt seien) seien bislang – mit Blick auf den formalen schweizerischen Firmensitz – in Deutschland nicht ordnungsge- mäss versteuert worden. Auf der zweiten Ebene befänden sich diverse Li- zenzfirmen, über die das operative Vertriebsgeschäft auf dem Papier abge- wickelt werde. Es handle sich dabei um zwischengeschaltete Domizilgesell- schaften, zumeist mit formalem Firmensitz in Hong Kong oder Grossbritan- nien. Der internationale Lizenzmarkt sei dabei in Regionen aufgeteilt. Die für die Region Zentral- und Nordeuropa zuständigen Lizenzfirmen würden eben- falls vom beschuldigten Beschwerdeführer 3 verantwortlich von Deutschland aus geführt. Auch die im operativen Vertriebsgeschäft erzielten Erlöse seien bislang – mit Blick auf die formalen ausländischen Firmensitze – in Deutsch- land nicht ordnungsgemäss versteuert worden. Auf der dritten Ebene werde</w:t>
      </w:r>
    </w:p>
    <w:p>
      <w:r>
        <w:t>- 10 -</w:t>
      </w:r>
    </w:p>
    <w:p>
      <w:r>
        <w:t>das operative Vertriebsgeschäft über weitere Firmen abgewickelt, die Leis- tungen wie Lagerung, Versand, Buchhaltung, Steuerberatung oder Pro- duktherstellung erbringen würden. Sämtliche Aktien der Beschwerdeführe- rin 1 seien im Besitz der Beschwerdeführerin 4, einer Gesellschaft mit be- schränkter Haftung mit Sitz in Deutschland. Deren alleiniger Gesellschafter und Geschäftsführer sei der beschuldigte Beschwerdeführer 3. Als Verwal- tungsrat und Geschäftsführer der Beschwerdeführerin 1 fungiere der eben- falls beschuldigte Beschwerdeführer 2. Nach bisherigen Erkenntnissen treffe dieser im täglichen Geschäft die wichtigen Entscheidungen nicht selbst, son- dern handle vielmehr auf Anweisung. Auf wesentliche unternehmerische Entscheidungen der Beschwerdeführerin 1 habe er keinen Einfluss. Bishe- rige Ermittlungen und die Auswertung von umfassendem Beweismaterial (Geschäftsunterlagen, E-Mails und sichergestellte elektronische Daten) hät- ten Anhaltspunkte erbracht, welche die tatsächliche Geschäftsführung der Beschwerdeführerin 1 durch den beschuldigten Beschwerdeführer 3 verant- wortlich von Deutschland aus belegen würden. Im Zeitraum 1. Juli 2012 bis 30. Juni 2013 sei im operativen Vertriebsgeschäft in insgesamt neun inter- nationalen Lizenzmärkten (zweite Ebene) ein Umsatz von mehr als EUR 38 Mio. erzielt worden. Davon seien der Beschwerdeführerin 1 (erste Ebene) Lizenzzahlungen in der Höhe von rund EUR 4,5 Mio. zugeflossen. In den steuerlichen Bilanzen der Beschwerdeführerin 1 seien für die Wirt- schaftsjahre 2009/2010 bis 2012/2013 Gewinne von insgesamt EUR 9‘095‘070.– ausgewiesen worden. Obwohl der beschuldigte Beschwer- deführer 3 nach bisherigen Erkenntnissen die Geschäfte der Beschwerde- führerin 1 von Deutschland aus führe, seien die Gewinne und Umsätze nicht in Deutschland versteuert worden. Die Gewinne wären in Deutschland der Körperschaftssteuer, dem Solidaritätszuschlag und der Gewerbesteuer un- terworfen. Der vorläufige Steuerschaden für die Jahre 2009 bis 2012 belaufe sich auf EUR 1,361 Mio. für die Körperschaftssteuer, EUR 73‘000.– für den Solidaritätszuschlag und EUR 1,118 Mio. für die Gewerbesteuer. Darüber hinaus seien die Umsätze aus Lizenzvergaben der Umsatzsteuer unterwor- fen, sofern sich der Ort der Leistung im Inland befinde. Die Umsatzsteuer- pflicht entfalle nur dann, wenn sich der Sitz der Lizenznehmer als Leistungs- empfänger tatsächlich im Ausland befinde. Bei den für den Markt Zentral- und Nordeuropa zuständigen Lizenznehmerfirmen sei dies nicht der Fall, da diese nach bisherigen Erkenntnissen ebenfalls faktisch vom Beschwerde- führer 3 von Deutschland aus geführt wurden. Daraus ergebe sich für die Jahre 2009 bis 2013 ein vorläufiger Steuerschaden von insgesamt EUR 551‘101.–. Bisherigen Erkenntnissen zufolge habe der Beschwerde- führer 3 im operativen Vertriebsgeschäft als faktisch Verantwortlicher dieser Lizenznehmerfirmen agiert. Zu diesem Zweck habe er eine Reihe von Domi-</w:t>
      </w:r>
    </w:p>
    <w:p>
      <w:r>
        <w:t>- 11 -</w:t>
      </w:r>
    </w:p>
    <w:p>
      <w:r>
        <w:t>zilfirmen mit jeweiligem Sitz in Hong Kong oder in Grossbritannien gegrün- det. Diese Gesellschaften hätten zwar ausländische Direktoren aufgewie- sen, seien jedoch wirtschaftlich inaktiv geblieben. Die tatsächliche Ge- schäftsführung habe der Beschwerdeführer 3 aus Deutschland heraus be- sorgt. Auch hierfür bestünden tatsächliche Anhaltspunkte aufgrund bisheri- ger Ermittlungen und der Auswertung von umfassendem Beweismaterial. Für diese Domizilfirmen seien Umsätze aus dem operativen Vertriebsge- schäft in Deutschland zur Umsatzsteuer erklärt, jedoch nach bisherigen Er- kenntnissen entweder nicht vollständig gemeldet oder komplett verschwie- gen worden. Diesbezüglich ergebe sich für die Jahre 2003 bis 2014 ein vor- läufiger Steuerschaden in der Höhe von EUR 5‘891‘274.–.</w:t>
      </w:r>
    </w:p>
    <w:p>
      <w:r>
        <w:t>Durch die Gründung von Domizilgesellschaften zur Vortäuschung wirtschaft- licher Aktivitäten und die unrechtmässige Verlagerung von Umsätzen und Gewinnen auf Domizilgesellschaften habe der Beschwerdeführer 3 ein Lü- gengebäude aufgebaut. Er habe ein komplexes und aufwändiges Täu- schungssystem benutzt, um steuerlich erhebliche Vorgänge systematisch zu verschleiern und zu Unrecht von niedrigeren Steuersätzen in der Schweiz, Grossbritannien und Hong Kong zu profitieren (vgl. zum Ganzen act. 7.1, S. 1 ff.).</w:t>
      </w:r>
    </w:p>
    <w:p>
      <w:r>
        <w:t>7.</w:t>
      </w:r>
    </w:p>
    <w:p>
      <w:r>
        <w:t>7.1 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Abs. 1 lit. a EUeR). Die Schweiz hat für die Durchführung prozessualer Zwangsmassnahmen eine entsprechende Erklärung angebracht (vgl. Art. 3 des Bundesbeschlusses vom 27. Septem- ber 1966 über die Genehmigung von sechs Übereinkommen des Europara- tes, AS 1967 805 ff., 809). Art. 64 Abs. 1 IRSG bestimmt (für die akzessori- sche Rechtshilfe), dass prozessuale Zwangsmassnahmen nur angewendet werden dürfen, wenn aus der Darstellung des Sachverhalts im Ersuchen her- vorgeht,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142 IV 250 E. 5.2, 175 E. 5.5; 132 II 81 E. 2.7.2 S. 90). Zu prüfen ist mithin, ob der im Ausland verübte inkriminierte Sachverhalt,</w:t>
      </w:r>
    </w:p>
    <w:p>
      <w:r>
        <w:t>- 12 -</w:t>
      </w:r>
    </w:p>
    <w:p>
      <w:r>
        <w:t>sofern er – analog – in der Schweiz begangen worden wäre, die Tatbe- standsmerkmale einer schweizerischen Strafnorm erfüllen würde. Die Straf- normen brauchen nach den Rechtssystemen der Schweiz und des ersu- chenden Staates nicht identisch zu sein (BGE 142 IV 175 E. 5.5; 132 II 81 E. 2.1 S. 84; 129 II 462 E. 4.6; TPF 2011 194 E. 2.1 S. 196). Dabei genügt es, wenn der im Rechtshilfeersuchen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t>7.2 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mit Hinweis). Ein Abgabebetrug muss nicht notwendig durch Verwendung falscher oder verfälschter Urkunden began- gen werden, sondern es sind auch andere Fälle arglistiger Täuschung denk- bar (BGE 139 II 404 E. 9.4 S. 435; 137 IV 25 E. 4.4.3.2 m.w.H.; vgl. zum Ganzen auch TPF 2015 110 E. 5.2.3).</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Lügengebäude liegt vor, wenn mehrere Lü- 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w:t>
      </w:r>
    </w:p>
    <w:p>
      <w:r>
        <w:t>- 13 -</w:t>
      </w:r>
    </w:p>
    <w:p>
      <w:r>
        <w:t>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 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Staates ebenfalls als Abgabebetrug gilt oder als Steuerhinterzie- hung geahndet wird (BGE 125 II 250 E. 3b; vgl. zum Ganzen auch TPF 2015 110 E. 5.2.3 m.w.H.).</w:t>
      </w:r>
    </w:p>
    <w:p>
      <w:r>
        <w:t>7.3 Liegt dem Rechtshilfeersuchen der Verdacht zugrunde, der Beschuldigte habe sich eines Abgabebetrugs schuldig gemacht, so haben sich die schwei- zerischen Behörden beim Entscheid über die Frage, ob die Täuschung, wel- che dem Beschuldigten vorgeworfen wird, arglistig sei, allein an die Darstel- lung des Sachverhalts im Rechtshilfeersuchen zu halten, soweit dieses nicht offensichtliche Fehler, Lücken oder Widersprüche enthält. Einerseits haben sich die schweizerischen Behörden grundsätzlich nicht darüber auszuspre- chen, ob die darin angeführten Tatsachen zutreffen oder nicht. Andererseits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 haupteten Abgabebetrugs Beweise verschafft, die zur Ahndung anderer Fis- kaldelikte dienen sollen, für welche die Schweiz gemäss Art. 3 Abs. 3 IRSG keine Rechtshilfe gewährt. Demnach ist es Sache der um Rechtshilfe ersu- chenden ausländischen Behörde, in ihrem Ersuchen die Umstände darzule- gen, aus welchen sich ergeben soll, dass der Beschuldigte arglistig gehan- delt hat (BGE 139 II 404 E. 9.5; 125 II 250 E. 5b). Der ersuchende Staat hat seinem Gesuch nicht notwendigerweise die Beweismittel beizulegen; es ge- nügt, wenn er diese bezeichnet und deren Existenz glaubhaft macht (BGE 116 Ib 96 E. 4c S. 103; ZIMMERMANN, a.a.O., N. 645). Bestehen Zwei- fel über die Merkmale der im Ersuchen erwähnten Abgaben, so holt gemäss Art. 24 Abs. 3 IRSV das BJ oder die kantonale Vollzugsbehörde die Stellung- nahme der Eidgenössischen Steuerverwaltung ein. Deren Bericht bindet al- lerdings weder die ausführende Behörde noch die Beschwerdeinstanz (ZIM- MERMANN, a.a.O., N. 646; vgl. zum Ganzen TPF 2015 110 E. 5.2.4 m.w.H.).</w:t>
      </w:r>
    </w:p>
    <w:p>
      <w:r>
        <w:t>- 14 -</w:t>
      </w:r>
    </w:p>
    <w:p>
      <w:r>
        <w:t>8.</w:t>
      </w:r>
    </w:p>
    <w:p>
      <w:r>
        <w:t>8.1 Die Sachverhaltsschilderung im Rechtshilfeersuchen (vgl. E. 6) enthält keine offensichtlichen Fehler, Lücken oder Widersprüche. Ihr können hinreichende Elemente für die Annahme eines Abgabebetrugs entnommen werden. Dem Beschwerdeführer 3 wird insbesondere vorgeworfen, eine komplexe interna- tionale Konzernstruktur mit verschiedenen Scheinfirmen geschaffen zu ha- ben, dies zum Zweck, über Jahre hinweg Ertrags- und Umsatzsteuern hin- terzogen zu haben. So handle beispielsweise der als Verwaltungsrat und Geschäftsführer der Beschwerdeführerin 1 fungierende Beschwerdeführer 2 im täglichen Geschäft auf Anweisung des Beschwerdeführers 3. Auf wesent- liche unternehmerische Entscheidungen der Beschwerdeführerin 1 habe er – trotz seiner Rolle als Verwaltungsrat und Geschäftsführer – keinen Ein- fluss. Die im Rechtshilfeersuchen derart beschriebene Rolle des Beschwer- deführers 2 fällt ohne Weiteres unter den Begriff des «Strohmanns» (siehe act. 1.5, S. 5). Da schadet es – entgegen den Ausführungen der Beschwer- deführer (act. 11, Rz. 21) – nicht, dass dieser Begriff im Ersuchen selber nicht erwähnt wird. Die deutschen Behörden scheinen aufgrund von bisher sichergestellten Beweismitteln über verschiedene Anhaltspunkte zu verfü- gen, welche den Verdacht der Ausübung der tatsächlichen Geschäftstätig- keit der Beschwerdeführerin 1 von Deutschland aus erhärten sollen. Befindet sich der Mittelpunkt der tatsächlichen Geschäftsleitung der Beschwerdefüh- rerin 1 in Deutschland, so ist sie dort auch gestützt auf Art. 4 Abs. 1 und 8 des von den Beschwerdeführern verschiedentlich angerufenen Abkommens vom 11. August 1971 zwischen der Schweizerischen Eidgenossenschaft und der Bundesrepublik Deutschland zur Vermeidung der Doppelbesteuerung auf dem Gebiete der Steuern vom Einkommen und vom Vermögen (SR 0.672.913.62) unbeschränkt steuerpflichtig. Namentlich ist hierzu fest- zuhalten, dass der Beschwerdeführer 3 gemäss der Darstellung im Rechts- hilfeersuchen für die Beschwerdeführerin 1, die einem Konzern angehört, nicht nur konzernleitende Entscheidungen treffe, sondern eben gerade auch das operative Tagesgeschäft führe.</w:t>
      </w:r>
    </w:p>
    <w:p>
      <w:r>
        <w:t>Weitere Elemente, die die Annahme eines arglistig verübten Anlagebetrugs nahelegen, sind die angeblich vom Beschwerdeführer 3 errichteten Domizil- gesellschaften in Hong Kong und in Grossbritannien auf der zweiten Ebene des geschilderten Vertriebssystems. Bei diesen handle es sich gemäss Dar- stellung im Rechtshilfeersuchen um Scheinfirmen. Sie verfügten zwar nomi- nell über ausländische Direktoren, seien selber jedoch wirtschaftlich inaktiv. Das operative Vertriebsgeschäft werde zwar auf dem Papier über sie abge- wickelt, in Tat und Wahrheit aber erfolge die Geschäftsführung auch für diese Gesellschaften durch den Beschwerdeführer 3 von Deutschland aus. Auf-</w:t>
      </w:r>
    </w:p>
    <w:p>
      <w:r>
        <w:t>- 15 -</w:t>
      </w:r>
    </w:p>
    <w:p>
      <w:r>
        <w:t>grund dieser Darstellung ist anzunehmen, dass die Domizilgesellschaften le- diglich mit dem Zweck errichtet wurden, den tatsächlichen Ort der Geschäfts- tätigkeit (Deutschland) zu verschleiern und die dort anfallenden Ertrags- und Umsatzsteuern in andere Länder zu verschieben.</w:t>
      </w:r>
    </w:p>
    <w:p>
      <w:r>
        <w:t>Insgesamt ist aufgrund der Darstellung im Rechtshilfeersuchen trotz den meist pauschalen Bestreitungen der Arglist durch die Beschwerdeführer (siehe act. 1, Rz. 44; act. 11, Rz. 12, 18 ff.) davon auszugehen, dass der Beschwerdeführer 3 sich bei der Schaffung und dem Betreiben der Konzern- struktur einer Reihe von besonderen Machenschaften und Lügen bedient hat. Ebenso ist naheliegend, dass mit dieser Vorgehensweise beabsichtigt wurde, steuerlich erhebliche Vorgänge (in Deutschland) systematisch zu ver- schleiern und zu Unrecht von tieferen Steuersätzen in der Schweiz, Gross- britannien und Hong Kong zu profitieren.</w:t>
      </w:r>
    </w:p>
    <w:p>
      <w:r>
        <w:t>8.2 Die übrigen von den Beschwerdeführern dagegen erhobenen Einreden und Einwendungen vermögen am eben Ausgeführten nichts zu ändern. Im We- sentlichen machen sie geltend, die tatsächliche Leitung der Beschwerdefüh- rerin 1 liege in der Schweiz und nicht in Deutschland (so in act. 1, Rz. 34, 44 f.). Damit beschränken sie sich auf eine abweichende eigene Darstellung des im ausländischen Strafverfahren untersuchten Sachverhalts, welche im Rechtshilfeverfahren nicht zu hören ist (entgegen act. 11, Rz. 36; siehe BGE 139 II 451 E. 2.2.1; TPF 2011 194 E. 2.1 S. 196). Dasselbe gilt für den Einwand, die gesamte Konstruktion diene nicht primär der Steuerverkür- zung, diese spiele nur eine Nebenrolle (act. 1, Rz. 31 f.). Dass allein die Verbindung zwischen der Beschwerdeführerin 4 und der Beschwerdeführe- rin 1 als deren Muttergesellschaft den deutschen und den schweizerischen Steuerbehörden offengelegt worden sei (act. 1, Rz. 33), vermag die einge- hend begründete Annahme des arglistigen Vorgehens ebenfalls nicht zu ent- kräften. Mit dem Einwand, die sichergestellten Unterlagen würden die An- nahmen der ersuchenden Behörden widerlegen (act. 1, Rz. 34 f.), bejahen die Beschwerdeführer im Übrigen selber die Relevanz dieser Unterlagen für das in Deutschland geführte Strafverfahren.</w:t>
      </w:r>
    </w:p>
    <w:p>
      <w:r>
        <w:rPr>
          <w:b/>
        </w:rPr>
        <w:t>E. 9</w:t>
      </w:r>
    </w:p>
    <w:p>
      <w:r>
        <w:t>Die Beschwerde erweist sich nach dem vorstehend Ausgeführten als unbe- gründet. Sie ist abzuweisen. Ist die bewilligte Rechtshilfeleistung insbeson- dere auch für den Bereich der direkten Fiskalität zulässig, so erübrigt sich auch die von den Beschwerdeführern eventualiter beantragte Anpassung des Spezialitätsvorbehalts.</w:t>
      </w:r>
    </w:p>
    <w:p>
      <w:r>
        <w:t>- 16 -</w:t>
      </w:r>
    </w:p>
    <w:p>
      <w:r>
        <w:rPr>
          <w:b/>
        </w:rPr>
        <w:t>E. 10</w:t>
      </w:r>
    </w:p>
    <w:p>
      <w:r>
        <w:t>Bei diesem Ausgang des Verfahrens sind die Gerichtskosten den unterlie- genden Beschwerdeführern aufzuerlegen (Art. 63 Abs. 1 VwVG). Die Ge- richtsgebühr ist unter Berücksichtigung der in E. 4 und E. 5 erwähnten Rechts- bzw. Gehörsverletzung auf Fr. 3'000.– festzusetzen (Art. 63 Abs. 5 VwVG i.V.m. Art. 73 StBOG sowie Art. 5 und 8 Abs. 3 lit. a des Reglements des Bundesstrafgerichts vom 31. August 2010 über die Kosten, Gebühren und Entschädigungen in Bundesstrafverfahren [BStKR; SR 173.713.162]), unter Anrechnung des entsprechenden Betrages aus dem geleisteten Kos- tenvorschuss von Fr. 5‘000.– (act. 3 und 4). Die Bundesstrafgerichtskasse ist anzuweisen, dem Vertreter der Beschwerdeführer Fr. 2‘000.– zurückzu- erstatten.</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