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RR.2018.109 vom 25. April 2018</w:t>
      </w:r>
    </w:p>
    <w:p>
      <w:r>
        <w:t>Bundesstrafgericht, 2018-04-25, DE</w:t>
      </w:r>
    </w:p>
    <w:p>
      <w:r>
        <w:rPr>
          <w:b/>
        </w:rPr>
        <w:t xml:space="preserve">Quelle: </w:t>
      </w:r>
      <w:r>
        <w:t>https://mcp.opencaselaw.ch/entscheid/bstger_RR.2018.109</w:t>
      </w:r>
    </w:p>
    <w:p>
      <w:r>
        <w:t>FR: TPF RR.2018.109 du 25 avril 2018</w:t>
      </w:r>
    </w:p>
    <w:p>
      <w:r>
        <w:t>IT: TPF RR.2018.109 del 25 aprile 2018</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der Vertrag vom 13. November 1969 zwischen der Schweizerischen Eidgenossenschaft und der Bundesrepublik Deutschland über die Ergänzung des EAUe und die Erleichterung seiner Anwendung (ZV EAUe; SR 0.353.913.61) sowie das Schengener Durchführungsüberein- kommen vom 14. Juni 1985 (SDÜ; ABl. L 239 vom 22. September 2000, S. 19-62) i.V.m. dem Beschluss des Rates über die Einrichtung, den Betrieb und die Nutzung des SIS der zweiten Generation (SIS II), namentlich Art. 26- 31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Für das Beschwerdeverfahren gelten zudem die Art. 379-397 StPO sinngemäss (Art. 48 Abs. 2 i.V.m. Art. 47 IRSG) und die Bestimmungen des Bundesgesetzes vom 20. Dezem- ber 1968 über das Verwaltungsverfahren (Verwaltungsverfahrensgesetz, VwVG; SR 172.021; vgl. Art. 39 Abs. 2 lit. b i.V.m. Art. 37 Abs. 2 lit. a Ziff. 1 StBOG).</w:t>
      </w:r>
    </w:p>
    <w:p>
      <w:r>
        <w:t>- 4 -</w:t>
      </w:r>
    </w:p>
    <w:p>
      <w:r>
        <w:rPr>
          <w:b/>
        </w:rPr>
        <w:t>E. 2</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innerhalb von 30 Tagen nach Eröffnung des Entscheids bei der Beschwerdekammer des Bundesstrafge- richts Beschwerde geführt werden (Art. 25 Abs. 1 IRSG i.V.m. Art. 50 Abs. 1 VwVG und Art. 12 Abs. 1 IRSG). Der Beschwerdeführer erhob mit Eingabe vom 17. März 2018 (Poststempel vom 19. März 2018) gegen den Ausliefe- rungsentscheid vom 23. Februar 2018 beim Bundesgericht Beschwerde, die der Beschwerdekammer am 29. März 2018 zuständigkeitshalber überwiesen wurde. Die bei der unzuständigen Behörde eingereichte Beschwerde scha- det dem Beschwerdeführer nicht (Art. 12 Abs. 1 IRSG i.V.m. Art. 21. Abs. 2 VwVG), sodass sich die Beschwerde als fristgerecht erweist.</w:t>
      </w:r>
    </w:p>
    <w:p>
      <w:r>
        <w:rPr>
          <w:b/>
        </w:rPr>
        <w:t>E. 3.2</w:t>
      </w:r>
    </w:p>
    <w:p>
      <w:r>
        <w:t>Als Verfolgter (vgl. Art. 11 Abs. 1 IRSG) ist der Beschwerdeführer zur Einrei- chung des Rechtsmittels legitimiert. Auf die Beschwerde ist damit einzutre- ten.</w:t>
      </w:r>
    </w:p>
    <w:p>
      <w:r>
        <w:rPr>
          <w:b/>
        </w:rPr>
        <w:t>E. 4.1</w:t>
      </w:r>
    </w:p>
    <w:p>
      <w:r>
        <w:t>Nach Massgabe des EAUe sind die Vertragsparteien grundsätzlich verpflich- tet, einander Personen auszuliefern, die von den Justizbehörden des ersu- chenden Staates wegen einer strafbaren Handlung verfolgt oder zur Voll- streckung einer Strafe oder einer sichernden Massnahme gesucht werden (Art. 1 EAUe). Auszuliefern ist wegen Handlungen, die sowohl nach dem Recht des ersuchenden als auch nach demjenigen des ersuchten Staates mit einer Freiheitsstrafe oder die Freiheit beschränkenden sichernden Mass-</w:t>
      </w:r>
    </w:p>
    <w:p>
      <w:r>
        <w:t>- 5 -</w:t>
      </w:r>
    </w:p>
    <w:p>
      <w:r>
        <w:t>nahme im Höchstmass von mindestens einem Jahr oder einer schwereren Strafe bedroht sind (Art. 2 Ziff. 1 EAUe). Ist im Hoheitsgebiet des ersuchen- den Staates eine Verurteilung zu einer Freiheitsstrafe erfolgt, so muss deren Mass mindestens vier Monate (Art. 2 Ziff. 1 EAUe) bzw. 3 Monate gemäss Art. II Abs. 1 Zusatzvertrag betragen.</w:t>
      </w:r>
    </w:p>
    <w:p>
      <w:r>
        <w:rPr>
          <w:b/>
        </w:rPr>
        <w:t>E. 4.2</w:t>
      </w:r>
    </w:p>
    <w:p>
      <w:r>
        <w:t>Das Bundesamt hat die Auslieferung des Beschwerdeführers an Deutsch- land für die im Auslieferungsersuchen des Bayerischen Staatsministeriums vom 11. Dezember 2017 zugrunde liegenden Straftaten (Strassenverkehrs- delikte und Beleidigung) bewilligt (act. 1.1). Für diese Delikte ist die Auslie- ferung nach Art. 2 Ziff. 1 EAUe grundsätzlich zu gewähren. Die weiteren Aus- lieferungsvoraussetzungen sind nachfolgend insoweit zu prüfen, als sie Streitgegenstand der Beschwerde bilden.</w:t>
      </w:r>
    </w:p>
    <w:p>
      <w:r>
        <w:rPr>
          <w:b/>
        </w:rPr>
        <w:t>E. 5.1</w:t>
      </w:r>
    </w:p>
    <w:p>
      <w:r>
        <w:t>Der Beschwerdeführer macht zunächst geltend, ihn würde in Deutschland kein faires Verfahren erwarten.</w:t>
      </w:r>
    </w:p>
    <w:p>
      <w:r>
        <w:rPr>
          <w:b/>
        </w:rPr>
        <w:t>E. 5.2</w:t>
      </w:r>
    </w:p>
    <w:p>
      <w:r>
        <w:t>Gemäss Art. 2 lit. a IRSG wird einem Ersuchen in Strafsachen nicht entspro- chen, wenn Gründe für die Annahme bestehen, dass das Verfahren im Aus- land den in der Europäischen Menschenrechtskonvention (EMRK; SR 0.101) oder im Internationalen Pakt vom 16. Dezember 1966 über bürgerliche und politische Rechte (UNO-Pakt II; SR 0.103.2) festgelegten Verfahrensgrund- sätzen nicht entspricht. Einem Rechtshilfeersuchen wird ebenfalls nicht ent- sprochen, wenn Gründe für die Annahme bestehen, dass das Verfahren im Ausland andere schwere Mängel aufweist (Art. 2 lit. d IRSG).</w:t>
      </w:r>
    </w:p>
    <w:p>
      <w:r>
        <w:rPr>
          <w:b/>
        </w:rPr>
        <w:t>E. 5.3</w:t>
      </w:r>
    </w:p>
    <w:p>
      <w:r>
        <w:t>Der Beschwerdeführer unterlässt es, glaubhaft zu machen, inwiefern objektiv und ernsthaft eine schwerwiegende Verletzung der Menschenrechte im deutschen Staat zu befürchten ist, die ihn unmittelbar berührt (vgl. BGE 123 II 511 E. 5b S. 517; 112 Ib 215 E. 7 S. 224; 109 Ib 64 E. 5b/aa S. 73). Die pauschale, durch nichts belegte Behauptung des Beschwerde- führers, wegen seiner Herkunft könne er nicht mit einem fairen Verfahren rechnen, genügt jedenfalls nicht für die Annahme, ihm drohe eine schwer- wiegende Verletzung der Menschenrechte in Deutschland. Im Übrigen ist bei einem bewährten Rechtsstaat wie Deutschland – der die EMRK und den UNO Pakt II ratifiziert hat – nicht anzunehmen, dass er im Strafverfahren gegen den Beschwerdeführer die Grundrechte nicht beachten wird (vgl. Ur- teile des Bundesgerichts 1C_360/2013 vom 19. März 2013 E. 1.4; 1C_257/2010 vom 1. Juni 2010 E. 2.4; Entscheid des Bundesstrafgerichts RR.2013.209 vom 14. März 2014 E. 2.1.1). Die Rüge erweist sich damit als unbegründet.</w:t>
      </w:r>
    </w:p>
    <w:p>
      <w:r>
        <w:t>- 6 -</w:t>
      </w:r>
    </w:p>
    <w:p>
      <w:r>
        <w:rPr>
          <w:b/>
        </w:rPr>
        <w:t>E. 6</w:t>
      </w:r>
    </w:p>
    <w:p>
      <w:r>
        <w:t>Soweit der Beschwerdeführer sodann sinngemäss den in Art. 8 Abs. 1 EMRK verankerten Anspruch auf Achtung des Privat- und Familien- lebens anruft und geltend macht, er lebe seit Mitte 2016 in einer festen Be- ziehung und gehe in der Schweiz einer geregelten Arbeit nach, ist Folgendes auszuführen: Eingriffe in das Recht auf Achtung des Privat- und Familienle- bens sind gerechtfertigt, soweit sie gesetzlich vorgesehen sind und in einer demokratischen Gesellschaft zur Aufrechterhaltung der Ordnung und zur Verhinderung von strafbaren Handlungen notwendig erscheinen. Nach der Praxis des Bundesgerichts und des Europäischen Gerichtshofs für Men- schenrechte sind Eingriffe in das Familienleben, welche auf rechtmässige Strafverfolgungsmassnahmen zurückzuführen sind, grundsätzlich zulässig (s. Urteile des Bundesgerichts 1P.10/2006 vom 31. Januar 2006, E.2.3; 1A.199/2006 vom 2. November 2006, E.3.1 f., mit weiteren Hinweisen; BGE 120 Ib 120 E. 3d). Damit erweist sich auch diese Rüge als unbegründet.</w:t>
      </w:r>
    </w:p>
    <w:p>
      <w:r>
        <w:rPr>
          <w:b/>
        </w:rPr>
        <w:t>E. 7</w:t>
      </w:r>
    </w:p>
    <w:p>
      <w:r>
        <w:t>Die Beschwerde erweist sich insgesamt als unbegründet. Den Akten sind zudem keine anderen Gründe zu entnehmen, welche einer Auslieferung des Beschwerdeführers entgegenstünden. Die Beschwerde ist damit abzuwei- sen.</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8.2</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t>- 7 -</w:t>
      </w:r>
    </w:p>
    <w:p>
      <w:r>
        <w:rPr>
          <w:b/>
        </w:rPr>
        <w:t>E. 9</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