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RR.2018.104 vom 6. Juli 2018</w:t>
      </w:r>
    </w:p>
    <w:p>
      <w:r>
        <w:t>Bundesstrafgericht, 2018-07-06, FR</w:t>
      </w:r>
    </w:p>
    <w:p>
      <w:r>
        <w:rPr>
          <w:b/>
        </w:rPr>
        <w:t xml:space="preserve">Quelle: </w:t>
      </w:r>
      <w:r>
        <w:t>https://mcp.opencaselaw.ch/entscheid/bstger_RR.2018.104</w:t>
      </w:r>
    </w:p>
    <w:p>
      <w:r>
        <w:t>FR: TPF RR.2018.104 du 6 juillet 2018</w:t>
      </w:r>
    </w:p>
    <w:p>
      <w:r>
        <w:t>IT: TPF RR.2018.104 del 6 luglio 2018</w:t>
      </w:r>
    </w:p>
    <w:p>
      <w:pPr>
        <w:pStyle w:val="Heading2"/>
      </w:pPr>
      <w:r>
        <w:t>Regeste</w:t>
      </w:r>
    </w:p>
    <w:p>
      <w:r>
        <w:t>Entraide judiciaire internationale en matière pénale au Luxembourg. Remise de moyens de preuve (art. 74 EIMP).</w:t>
      </w:r>
    </w:p>
    <w:p>
      <w:pPr>
        <w:pStyle w:val="Heading2"/>
      </w:pPr>
      <w:r>
        <w:t>Erwägungen</w:t>
      </w:r>
    </w:p>
    <w:p>
      <w:r>
        <w:rPr>
          <w:b/>
        </w:rPr>
        <w:t>E. 1.1</w:t>
      </w:r>
    </w:p>
    <w:p>
      <w:r>
        <w:t>L'entraide judiciaire entre le Luxembourg et la Suisse est régie par la Convention européenne d'entraide judiciaire en matière pénale du 20 avril 1959 (CEEJ; RS 0.351.1), entrée en vigueur le 20 mars 1967 pour la Suisse et le 16 février 1977 pour le Luxembourg, par les art. 48 ss de la Convention d'application de l'Accord de Schengen du 14 juin 1985 (CAAS; n° CELEX</w:t>
      </w:r>
    </w:p>
    <w:p>
      <w:r>
        <w:t>- 3 -</w:t>
      </w:r>
    </w:p>
    <w:p>
      <w:r>
        <w:t>42000A0922(02); Journal officiel de l'Union européenne L 239 du 22 septembre 2000, p. 19-62; publication de la Chancellerie fédérale, "Entraide et extradition") et par la loi fédérale sur l’entraide internationale en matière pénale (EIMP; RS 351.1) et son ordonnance d’exécution (OEIMP; RS 351.11).</w:t>
      </w:r>
    </w:p>
    <w:p>
      <w:r>
        <w:t>Le droit interne pertinent, soit en l’occurrence la loi fédérale sur l’entraide internationale en matière pénale (EIMP; RS 351.1) ainsi que son ordonnance d’exécution (OEIMP; RS 351.11), reste applicable aux questions qui ne sont réglées ni explicitement ni implicitement par les traités et lorsqu’il est plus favorable à l’entraide, sous réserve du respect des droits fondamentaux (ATF 140 IV 123 consid. 2; 137 IV 33 consid. 2.2.2;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Aux termes de l’art. 80h let. b EIMP, a qualité pour recourir en matière d’entraide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(ATF 137 IV 134 consid. 5 et 118 Ib 547 consid. 1d).</w:t>
      </w:r>
    </w:p>
    <w:p>
      <w:r>
        <w:t>La recourante est titulaire de la relation dont la transmission de la documentation a été ordonnée dans la décision entreprise; elle est donc habilitée à contester celle-ci.</w:t>
      </w:r>
    </w:p>
    <w:p>
      <w:r>
        <w:rPr>
          <w:b/>
        </w:rPr>
        <w:t>E. 1.4</w:t>
      </w:r>
    </w:p>
    <w:p>
      <w:r>
        <w:t>Déposé dans les 30 jours (art. 80k EIMP) à compter de la notification de l’acte querellé, le recours a été formé en temps utile.</w:t>
      </w:r>
    </w:p>
    <w:p>
      <w:r>
        <w:rPr>
          <w:b/>
        </w:rPr>
        <w:t>E. 1.5</w:t>
      </w:r>
    </w:p>
    <w:p>
      <w:r>
        <w:t>Au vu de ce qui précède, il y a lieu d'entrer en matière sur le recours.</w:t>
      </w:r>
    </w:p>
    <w:p>
      <w:r>
        <w:rPr>
          <w:b/>
        </w:rPr>
        <w:t>E. 2.1</w:t>
      </w:r>
    </w:p>
    <w:p>
      <w:r>
        <w:t>La recourante se plaint tout d'abord d'une violation du principe de la double incrimination. D'une part, l'état de fait décrit par l'Etat requérant ne tomberait pas sous le coup du droit pénal suisse; en particulier, les éléments constitutifs des infractions mentionnées par le MP-GE, à savoir la gestion</w:t>
      </w:r>
    </w:p>
    <w:p>
      <w:r>
        <w:t>- 4 -</w:t>
      </w:r>
    </w:p>
    <w:p>
      <w:r>
        <w:t>déloyale (art. 158 CP), l'abus de confiance (art. 138 CP), et/ou le blanchiment d'argent, ne seraient pas remplis. D'autre part, vu le moment auquel se seraient déroulés les faits mentionnés dans la demande d'entraide, la prescription serait acquise.</w:t>
      </w:r>
    </w:p>
    <w:p>
      <w:r>
        <w:rPr>
          <w:b/>
        </w:rPr>
        <w:t>E. 2.2</w:t>
      </w:r>
    </w:p>
    <w:p>
      <w:r>
        <w:t>La condition de la double incrimination est satisfaite lorsque l’état de faits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w:t>
      </w:r>
    </w:p>
    <w:p>
      <w:r>
        <w:rPr>
          <w:b/>
        </w:rPr>
        <w:t>E. 2.3</w:t>
      </w:r>
    </w:p>
    <w:p>
      <w:r>
        <w:t>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t>Les éléments constitutifs de la gestion déloyale sont (1) un auteur à qui incombe, de fait ou formellement, la responsabilité d'administrer pour le compte d'un tiers des intérêts pécuniaires revêtant une certaine importance,</w:t>
      </w:r>
    </w:p>
    <w:p>
      <w:r>
        <w:t>- 5 -</w:t>
      </w:r>
    </w:p>
    <w:p>
      <w:r>
        <w:t>(2) la violation d'un devoir de gestion ou d'un devoir de sauvegarde inhérent à cette qualité, (3) un dommage, (4) un rapport de causalité et (5) l'intention (ATF 129 IV 124 c. 3.1).</w:t>
      </w:r>
    </w:p>
    <w:p>
      <w:r>
        <w:rPr>
          <w:b/>
        </w:rPr>
        <w:t>E. 2.4</w:t>
      </w:r>
    </w:p>
    <w:p>
      <w:r>
        <w:t>Selon l'autorité requérante, B. SA a vendu un bien immobilier sis à Z. pour une somme de EUR 15 mios; cette opération a cependant été portée dans les comptes de ladite société à hauteur de EUR 3'490'295.-- seulement. Le prix de vente a été versé sur un compte ouvert pour les besoins de cette seule transaction puis transféré, le même jour, sur une relation détenue par D. Ltd, avec la communication "proceeds from sale of le cottage return to beneficial owner […]".</w:t>
      </w:r>
    </w:p>
    <w:p>
      <w:r>
        <w:t>Cet état de fait est déterminant pour l'examen du grief soulevé, dès lors que la recourante ne parvient pas à démontrer qu'ils seraient entachés d’erreurs, de lacunes ou de contradictions évidentes et immédiatement établies (cf. ATF 126 II 495 consid. 5e/aa).</w:t>
      </w:r>
    </w:p>
    <w:p>
      <w:r>
        <w:t>Il s'ensuit que le montant dû à B. SA pour la vente de l'immeuble en cause n'a pas été touché par celle-ci mais par un tiers non identifié. Vu le cheminement insolite des flux financiers liés à cette opération et l'inscription comptable erronée à laquelle celle-ci a donné lieu, il faut admettre qu'il ne s'agit pas là d'un paiement volontaire par dite société, mais d'un détournement de fonds dont cette dernière a été la victime. B. SA a donc subi un dommage, lequel a nécessairement été causé par des personnes en mesure de donner des instructions de paiement à l'acheteur de l'immeuble précité – et ainsi chargées, au moins dans les faits, des intérêts pécuniaires de la société. Par ailleurs, un tel comportement, en ce qu'il ne pouvait avoir d'autre but que l'enrichissement d'un tiers au détriment de B. SA, a sans aucun doute été adopté en violation d'un devoir de gestion ou de sauvegarde. Enfin, la conscience et la volonté des auteurs de ces agissements a englobé l'ensemble des éléments précités, comme le montrent les précautions dont les intéressés se sont entouré pour rendre malaisée la traçabilité des fonds litigieux. Force est donc de constater que les faits décrits dans la demande d'entraide remplissent a priori tous les éléments constitutifs de l'art. 158 CP et, partant, tombent sous le coup du droit pénal suisse.</w:t>
      </w:r>
    </w:p>
    <w:p>
      <w:r>
        <w:t>Quant à l'argument tiré de la prescription des faits mentionnés dans la demande d'entraide, il est d'emblée mal fondé. La CEEJ ne contient en effet aucune disposition qui exclut l'octroi de l'entraide en raison de la prescription de l'action ou de la peine et la jurisprudence a précisé qu'il s'agissait là d'un silence qualifié (ATF 117 Ib 53 consid. 3).</w:t>
      </w:r>
    </w:p>
    <w:p>
      <w:r>
        <w:t>- 6 -</w:t>
      </w:r>
    </w:p>
    <w:p>
      <w:r>
        <w:t>Il s'ensuit que la condition de la double incrimination est réalisée en l'espèce. Aussi, le premier grief soulevé est-il mal fondé.</w:t>
      </w:r>
    </w:p>
    <w:p>
      <w:r>
        <w:rPr>
          <w:b/>
        </w:rPr>
        <w:t>E. 3.1</w:t>
      </w:r>
    </w:p>
    <w:p>
      <w:r>
        <w:t>Dans un second grief, intitulé "autres remarques sur la demande d'entraide" ("Weitere Anmerkungen zum Rechtshilfeersuchen"), la recourante reproche pêle-mêle au MP-GE d'avoir ordonné la transmission de la documentation litigieuse à l'Etat recourant alors que celui-ci n'aurait pas fourni d'indications quant à son rôle dans le mécanisme délictueux suspecté, ni mentionné les auteurs, respectivement les victimes, des infractions dont la commission est suspectée. Ferait aussi défaut un document attestant de la licéité de l'Etat requérant des mesures sollicitées par celui-ci, ce qui serait contraire à l'art. 76 let. c EIMP.</w:t>
      </w:r>
    </w:p>
    <w:p>
      <w:r>
        <w:rPr>
          <w:b/>
        </w:rPr>
        <w:t>E. 3.2</w:t>
      </w:r>
    </w:p>
    <w:p>
      <w:r>
        <w:t>L'Etat requérant a expressément indiqué que l'examen de la documentation bancaire sollicitée lui était indispensable pour reconstituer le cheminement des EUR 15 mios versés au titre du prix de vente de l'immeuble ayant appartenu à B. SA. Il a aussi précisé que l'enquête était menée au Luxembourg contre les responsables de cette société et contre inconnu. Par ailleurs, il va de soi que la victime des agissements décrits plus hauts est B. SA, en tant que victime d'un détournement de fonds. Enfin, l'art. 76 let. c EIMP prévoit que la demande d'entraide doit être assortie, s'agissant des réquisitions de fouille, perquisition, saisie et remise d'objets, d'une attestation établissant leur licéité dans l'Etat requérant; cette disposition n'est pas applicable au cas d'espèce, qui concerne uniquement la remise de moyens de preuves, au sens de l'art. 74 EIMP. La seconde série de griefs soulevée est donc également mal fondée.</w:t>
      </w:r>
    </w:p>
    <w:p>
      <w:r>
        <w:rPr>
          <w:b/>
        </w:rPr>
        <w:t>E. 4</w:t>
      </w:r>
    </w:p>
    <w:p>
      <w:r>
        <w:t>Il suit de ce qui précède que le recours est mal fondé.</w:t>
      </w:r>
    </w:p>
    <w:p>
      <w:r>
        <w:rPr>
          <w:b/>
        </w:rPr>
        <w:t>E. 5</w:t>
      </w:r>
    </w:p>
    <w:p>
      <w:r>
        <w:t>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