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RR.2017.91 vom 5. Mai 2017</w:t>
      </w:r>
    </w:p>
    <w:p>
      <w:r>
        <w:t>Bundesstrafgericht, 2017-05-05, DE</w:t>
      </w:r>
    </w:p>
    <w:p>
      <w:r>
        <w:rPr>
          <w:b/>
        </w:rPr>
        <w:t xml:space="preserve">Quelle: </w:t>
      </w:r>
      <w:r>
        <w:t>https://mcp.opencaselaw.ch/entscheid/bstger_RR.2017.91</w:t>
      </w:r>
    </w:p>
    <w:p>
      <w:r>
        <w:t>FR: TPF RR.2017.91 du 5 mai 2017</w:t>
      </w:r>
    </w:p>
    <w:p>
      <w:r>
        <w:t>IT: TPF RR.2017.91 del 5 maggio 2017</w:t>
      </w:r>
    </w:p>
    <w:p>
      <w:pPr>
        <w:pStyle w:val="Heading2"/>
      </w:pPr>
      <w:r>
        <w:t>Regeste</w:t>
      </w:r>
    </w:p>
    <w:p>
      <w:r>
        <w:t>Internationale Rechtshilfe in Strafsachen an Mazedonien. Auslieferungsentscheid (Art. 55 IRSG). Unentgeltliche Rechtspflege (Art. 65 VwVG).</w:t>
      </w:r>
    </w:p>
    <w:p>
      <w:pPr>
        <w:pStyle w:val="Heading2"/>
      </w:pPr>
      <w:r>
        <w:t>Erwägungen</w:t>
      </w:r>
    </w:p>
    <w:p>
      <w:r>
        <w:rPr>
          <w:b/>
        </w:rPr>
        <w:t>E. 1.1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das am 17. März 1978 ergangene zweite Zusatzprotokoll (2. ZP; SR 0.353.12) und das am 10. November 2010 ergan- gene dritte Zusatzprotokoll (3. ZP; SR 0.353.13)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 ses geringere Anforderungen an die Auslieferung stellt (BGE 142 IV 250 E. 3; 140 IV 123 E. 2; 137 IV 33 E. 2.2.2; 136 IV 82 E. 3.1; 135 IV 212 E. 2.3; 122 II 140 E. 2; ZIMMERMANN, La coopération judiciaire internationale en ma- tière pénale, 4. Aufl., Brüssel/Bern 2014, N. 229). Vorbehalten bleibt die</w:t>
      </w:r>
    </w:p>
    <w:p>
      <w:r>
        <w:t>- 4 -</w:t>
      </w:r>
    </w:p>
    <w:p>
      <w:r>
        <w:t>Wahrung der Menschenrechte (BGE 139 II 65 E. 5.4 letzter Absatz; 135 IV 212 E. 2.3; 123 II 595 E. 7c).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2.1</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w:t>
      </w:r>
    </w:p>
    <w:p>
      <w:r>
        <w:rPr>
          <w:b/>
        </w:rPr>
        <w:t>E. 2.2</w:t>
      </w:r>
    </w:p>
    <w:p>
      <w:r>
        <w:t>Als Verfolgter (vgl. Art. 11 Abs. 1 IRSG) ist der Beschwerdeführer zur Einrei- chung des innert Frist eingegangenen Rechtsmittels legitimiert. Auf die Be- schwerde ist damit einzutreten.</w:t>
      </w:r>
    </w:p>
    <w:p>
      <w:r>
        <w:rPr>
          <w:b/>
        </w:rPr>
        <w:t>E. 3.1</w:t>
      </w:r>
    </w:p>
    <w:p>
      <w:r>
        <w:t>Der Beschwerdeführer bringt im Wesentlichen vor, in Mazedonien durch die Mafia bedroht zu sein (act. 1 S. 2). Die amtliche Rechtsbeiständin führte dazu vor der Vorinstanz aus (act. 5.10 S. 3), dass der heutige Beschwerde- führer Todesangst habe und um sein Leben fürchte. Er sei auf die Mafia he- reingefallen, die ihn genötigt habe, einen Kurierdienst zu übernehmen. Die Mafia (der heutige Beschwerdeführer könne aus Sicherheitsgründen keine konkreten Namen nennen) mache ihm nun in Mazedonien die Hölle heiss. Sie wollten ihr Geld zurück, welches sie mit seiner Verhaftung und der Be- schlagnahmung der Drogen verloren hätten und sich rächen, dass die Dro- gen weg seien. Er sei aus dem Hafturlaub geflohen, da er im dortigen Ge- fängnis mit dem Leben bedroht worden sei. Es sei keine Seltenheit, dass in Mazedonien ein Messer oder andere Waffen ins Gefängnis geschleust und Insassen auch im Gefängnis umgebracht würden.</w:t>
      </w:r>
    </w:p>
    <w:p>
      <w:r>
        <w:rPr>
          <w:b/>
        </w:rPr>
        <w:t>E. 3.2.1</w:t>
      </w:r>
    </w:p>
    <w:p>
      <w:r>
        <w:t>Bei Ländern mit bewährter Rechtsstaatskultur – insbesondere jenen West- europas – bestehen regelmässig keine ernsthaften Gründe für die Annahme,</w:t>
      </w:r>
    </w:p>
    <w:p>
      <w:r>
        <w:t>- 5 -</w:t>
      </w:r>
    </w:p>
    <w:p>
      <w:r>
        <w:t>dass der Verfolgte bei einer Auslieferung dem Risiko einer Art. 3 EMRK ver- letzenden Behandlung ausgesetzt sein könnte. Deshalb wird hier die Auslie- ferung ohne Auflagen gewährt. Dann gibt es Staaten, in denen zwar ernst- 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 rechtswidrigen Behandlung kann, da es praktisch immer besteht, für die Ab- lehnung der Auslieferung nicht genügen. Sonst wären Auslieferungen über- haupt nicht mehr möglich und könnten sich Straftäter durch Grenzübertritt vor der Verfolgung schützen. Schliesslich gibt es Staaten, in denen das Ri- siko einer menschenrechtswidrigen Behandlung auch mit diplomatischen Zusicherungen nicht auf ein Mass herabgesetzt werden kann, dass es als nur noch theoretisch erscheint. Als Beispiel kann auf das Urteil des Europä- ischen Gerichtshofes in Sachen Chahal gegen Vereinigtes Königreich vom 15. November 1996 (Recueil CourEDH 1996-V S. 183) verwiesen werden (vgl. BGE 134 IV 156 E. 6.7).</w:t>
      </w:r>
    </w:p>
    <w:p>
      <w:r>
        <w:rPr>
          <w:b/>
        </w:rPr>
        <w:t>E. 3.2.2</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117 Ib 64 E. 5 f.; BGE 115 Ib 68 E. 6). Dabei spielt insbesondere eine Rolle, ob er gegebenenfalls zu einer Personen- gruppe gehört, die im ersuchenden Staat in besonderem Masse gefährdet ist (BGE 135 I 191 E. 2.3; 134 IV 156 E. 6.8; TPF 2010 56 E. 6.3.2 [Iran]; TPF 2008 24 E. 4 [Moldawien]). Der im ausländischen Strafverfahren Be- schuldigte muss glaubhaft machen, dass objektiv und ernsthaft eine schwer- wiegende Verletzung der Menschenrechte im ersuchenden Staat zu befürch- ten ist (BGE 130 II 217 E. 8.1; 129 II 268 E. 6.1; 126 II 324, 328 E. 4e; 125 II 356, 364 E. 8a; 123 II 161, 167 E. 6b; 123 II 511, 517 E. 5b). Abstrakte Behauptungen genügen nicht. Im Rahmen eines Beschwerdeverfahrens muss der Beschwerdeführer seine Vorbringen im Einzelnen präzisieren (Ur- teil des Bundesgerichts 1A.210/1999 vom 12. Dezember 1999, E. 8b). Dies gilt auch für allfällige Drohungen und Gefährdungen durch Drittpersonen (Ur- teil des Bundesgerichts 1C_317/2014 vom 27. Juni 2014, E. 1.5; Entscheid des Bundesstrafgerichts RR.2014.148 vom 5. Juni 2014, E. 6.2; GARRÉ, Basler Kommentar, Basel, 2015, N. 10 zu Art. 37 IRSG).</w:t>
      </w:r>
    </w:p>
    <w:p>
      <w:r>
        <w:rPr>
          <w:b/>
        </w:rPr>
        <w:t>E. 3.3</w:t>
      </w:r>
    </w:p>
    <w:p>
      <w:r>
        <w:t>Der Beschwerdeführer erklärt im ganzen Verfahren nie konkret, dass er in Mazedonien einer besonderen Gefährdung ausgesetzt ist. Das gilt auch für</w:t>
      </w:r>
    </w:p>
    <w:p>
      <w:r>
        <w:t>- 6 -</w:t>
      </w:r>
    </w:p>
    <w:p>
      <w:r>
        <w:t>die allgemein gehaltenen Ausführungen zur Mafia, deren Interessensgebiete sich zumeist ohnehin über Landesgrenzen hinaus bewegen. Die Vorinstanz durfte vielmehr davon ausgehen, dass Mazedonien u.a. als Vertragspartei der EMRK und des EAUe die menschenrechtlichen Verpflichtungen auch im Strafvollzug wahrt. Auch bezüglich dem beantragten Strafvollzug in der Schweiz ist auf die zutreffenden Erwägungen im angefochtenen Entscheid zu verweisen (act. 5.13 S. 4 f. E. 6.2/6.3). Der Auslieferungsentscheid er- weist sich als bundesrechtskonform und die erhobene Rüge als offensicht- lich unbegründet.</w:t>
      </w:r>
    </w:p>
    <w:p>
      <w:r>
        <w:rPr>
          <w:b/>
        </w:rPr>
        <w:t>E. 4</w:t>
      </w:r>
    </w:p>
    <w:p>
      <w:r>
        <w:t>Es sind keine weiteren Auslieferungshindernisse ersichtlich. Die Be- schwerde ist abzuweisen.</w:t>
      </w:r>
    </w:p>
    <w:p>
      <w:r>
        <w:rPr>
          <w:b/>
        </w:rPr>
        <w:t>E. 5.1</w:t>
      </w:r>
    </w:p>
    <w:p>
      <w:r>
        <w:t>Beantragt ist die Beiordnung einer unentgeltlichen Rechtsbeiständin (act. 1 S. 1; RP.2017.28).</w:t>
      </w:r>
    </w:p>
    <w:p>
      <w:r>
        <w:rPr>
          <w:b/>
        </w:rPr>
        <w:t>E. 5.2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(BGE 138 III 217 E. 2.2.4; 134 I 92 E. 3.2.1; 129 I 129 E. 2.3.1).</w:t>
      </w:r>
    </w:p>
    <w:p>
      <w:r>
        <w:rPr>
          <w:b/>
        </w:rPr>
        <w:t>E. 5.3</w:t>
      </w:r>
    </w:p>
    <w:p>
      <w:r>
        <w:t>Anhand des oben Ausgeführten erweist sich die Beschwerde offensichtlich als aussichtslos im Sinne von Art. 65 Abs. 1 VwVG. Demzufolge ist das Ge- such des Beschwerdeführers um unentgeltliche Verbeiständung abzuwei- sen.</w:t>
      </w:r>
    </w:p>
    <w:p>
      <w:r>
        <w:rPr>
          <w:b/>
        </w:rPr>
        <w:t>E. 6</w:t>
      </w:r>
    </w:p>
    <w:p>
      <w:r>
        <w:t>Bei diesem Ausgang des Verfahrens sind die Gerichtskosten dem Be- schwerdeführer aufzuerlegen (Art. 63 Abs. 1 VwVG). Die Gerichtsgebühr ist auf Fr. 1'000.-- festzusetzen (Art. 63 Abs. 5 VwVG i.V.m. Art. 73 StBOG so- 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