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RR.2017.90 vom 19. September 2017</w:t>
      </w:r>
    </w:p>
    <w:p>
      <w:r>
        <w:t>Bundesstrafgericht, 2017-09-19, DE</w:t>
      </w:r>
    </w:p>
    <w:p>
      <w:r>
        <w:rPr>
          <w:b/>
        </w:rPr>
        <w:t xml:space="preserve">Quelle: </w:t>
      </w:r>
      <w:r>
        <w:t>https://mcp.opencaselaw.ch/entscheid/bstger_RR.2017.90</w:t>
      </w:r>
    </w:p>
    <w:p>
      <w:r>
        <w:t>FR: TPF RR.2017.90 du 19 septembre 2017</w:t>
      </w:r>
    </w:p>
    <w:p>
      <w:r>
        <w:t>IT: TPF RR.2017.90 del 19 settembre 2017</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Soweit der Vertrag be- stimmte Fragen nicht abschliessend regelt, gelangen das Bundesgesetz vom 20. März 1981 über internationale Rechtshilfe in Strafsachen (Rechts- hilfegesetz, IRSG; SR 351.1) und die Verordnung vom 24. Februar 1982 über internationale Rechtshilfe in Strafsachen (Rechtshilfeverordnung,</w:t>
      </w:r>
    </w:p>
    <w:p>
      <w:r>
        <w:t>- 5 -</w:t>
      </w:r>
    </w:p>
    <w:p>
      <w:r>
        <w:t>IRSV; SR. 351.11) zur Anwendung. Das innerstaatliche Recht gelangt nach dem Günstigkeitsprinzip auch dann zur Anwendung, wenn dieses geringere Anforderungen an die Rechtshilfe stellt (vgl. Art. 32 Ziff. 1 RV-BRA; BGE 142 IV 250 E. 3; TPF 2011 131 E. 1; je m.w.H.). Vorbehalten bleibt die Wahrung der Menschenrechte (BGE 135 IV 212 E. 2.3; TPF 2008 24 E. 1.1; je m.w.H.). Auf Beschwerdeverfahren in internationalen Rechtshilfeangelegen- heiten sind zudem die Bestimmungen des Bundesgesetzes vom 20. Dezem- ber 1968 über das Verwaltungsverfahren (Verwaltungsverfahrensgesetz, VwVG; SR 172.021) anwendbar (Art. 39 Abs. 2 lit. b i.V.m. Art. 37 Abs. 2 lit. a Ziff. 1 StBOG).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 Als persönlich und direkt betroffen im Sinne des Art. 80h lit. b IRSG gilt na- mentlich der Kontoinhaber bei der Erhebung von Kontoinformationen (Art. 9a lit. a IRSV).</w:t>
      </w:r>
    </w:p>
    <w:p>
      <w:r>
        <w:rPr>
          <w:b/>
        </w:rPr>
        <w:t>E. 2.2</w:t>
      </w:r>
    </w:p>
    <w:p>
      <w:r>
        <w:t>Bloss wirtschaftlich an einem Bankkonto, Banksafe oder Wertschriftendepot Berechtigte sind im Gegensatz zu deren Inhaber grundsätzlich nicht legiti- miert, Rechtshilfemassnahmen anzufechten, welche die Bankverbindung betreffen (BGE 139 II 404 E. 2.1.1 m.w.H.; Urteil des Bundesgerichts 1C_764/2013 vom 27. September 2013, E. 2.1; TPF 2008 172 E. 1.3). Eine Ausnahme lässt die Praxis zu, falls einziger Kontoinhaber eine juristische Person war, die aufgelöst worden ist, und zudem keine Anhaltspunkte dafür bestehen, dass die Liquidation dieser Gesellschaft nur vorgeschoben wird bzw. rechtsmissbräuchlich erfolgte (BGE 137 IV 134 E. 5.2.1 m.w.H.). In ei- nem solchen Falle muss der wirtschaftlich an einer erloschenen Gesellschaft Berechtigte insbesondere nachweisen, dass er Begünstigter des Erlöses aus der Liquidation dieser Gesellschaft war. Die wirtschaftliche Berechtigung am fraglichen Konto alleine reicht zur Bejahung der Beschwerdelegitimation nicht aus (Urteil des Bundesgerichts 1C_370/2012 vom 3. Oktober 2012, E. 2.3; TPF 2009 183 E. 2.2.1; Entscheid des Bundesstrafgerichts RR.2014.244 vom 9. Januar 2015, E. 1.3.1; vgl. zum Ganzen Entscheid des Bundesstrafgerichts RR.2015.105 vom 23. Juni 2015, E. 2.3).</w:t>
      </w:r>
    </w:p>
    <w:p>
      <w:r>
        <w:t>- 6 -</w:t>
      </w:r>
    </w:p>
    <w:p>
      <w:r>
        <w:rPr>
          <w:b/>
        </w:rPr>
        <w:t>E. 2.3</w:t>
      </w:r>
    </w:p>
    <w:p>
      <w:r>
        <w:t>In den Akten befindet sich ein Vertragsdokument Bank H. AG, wonach der Beschwerdeführer am fraglichen Konto wirtschaftlich berechtigt ist (RH.16.0185, pag. 5.1.1.2-0040). Der Beschwerdeführer legt zu seiner Be- schwerdelegitimation ausserdem eine Kopie eines "Certificate of Dissolu- tion" vom 28. Juni 2013 ins Recht, mitsamt zweiseitigem Anhang (act. 1.4). Als Begünstigter des Liquidationserlöses geht der Beschwerdeführer daraus nicht hervor und andere Beweise dafür wurden nicht erbracht. Mangels ge- nügender Substantiierung der Beschwerdelegitimation ist auf die Be- schwerde nicht einzutreten.</w:t>
      </w:r>
    </w:p>
    <w:p>
      <w:r>
        <w:rPr>
          <w:b/>
        </w:rPr>
        <w:t>E. 3</w:t>
      </w:r>
    </w:p>
    <w:p>
      <w:r>
        <w:t>Bei diesem Ausgang des Verfahrens sind die Gerichtskosten dem Be- schwerdeführer aufzuerlegen (Art. 63 Abs. 1 VwVG). Die Gerichtsgebühr ist auf Fr. 3'000.– festzusetzen, unter Anrechnung des geleisteten Kostenvor- schusses von Fr. 5'000.– (Art. 63 Abs. 5 VwVG i.V.m. Art. 73 StBOG sowie Art. 5 und Art. 8 Abs. 3 lit. a des Reglements des Bundesstrafgerichts vom 31. August 2010 über die Kosten, Gebühren und Entschädigungen in Bun- desstrafverfahren [BStKR; SR 173.713.162]). Die Bundesstrafgerichtskasse ist anzuweisen, dem Beschwerdeführer den Restbetrag von Fr. 2'000.– zu- 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