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RR.2017.89 vom 15. Mai 2017</w:t>
      </w:r>
    </w:p>
    <w:p>
      <w:r>
        <w:t>Bundesstrafgericht, 2017-05-15, FR</w:t>
      </w:r>
    </w:p>
    <w:p>
      <w:r>
        <w:rPr>
          <w:b/>
        </w:rPr>
        <w:t xml:space="preserve">Quelle: </w:t>
      </w:r>
      <w:r>
        <w:t>https://mcp.opencaselaw.ch/entscheid/bstger_RR.2017.89</w:t>
      </w:r>
    </w:p>
    <w:p>
      <w:r>
        <w:t>FR: TPF RR.2017.89 du 15 mai 2017</w:t>
      </w:r>
    </w:p>
    <w:p>
      <w:r>
        <w:t>IT: TPF RR.2017.89 del 15 maggio 2017</w:t>
      </w:r>
    </w:p>
    <w:p>
      <w:pPr>
        <w:pStyle w:val="Heading2"/>
      </w:pPr>
      <w:r>
        <w:t>Regeste</w:t>
      </w:r>
    </w:p>
    <w:p>
      <w:r>
        <w:t>Entraide judiciaire internationale en matière pénale à l'Espagne. Saisie de valeurs (art. 80e al. 2 let. a EIMP).</w:t>
      </w:r>
    </w:p>
    <w:p>
      <w:pPr>
        <w:pStyle w:val="Heading2"/>
      </w:pPr>
      <w:r>
        <w:t>Erwägungen</w:t>
      </w:r>
    </w:p>
    <w:p>
      <w:r>
        <w:rPr>
          <w:b/>
        </w:rPr>
        <w:t>E. 22</w:t>
      </w:r>
    </w:p>
    <w:p>
      <w:r>
        <w:t>septembre 2000, p. 19 à 62) s'appliquent également à l'entraide pénale entre ces deux Etats;</w:t>
      </w:r>
    </w:p>
    <w:p>
      <w:r>
        <w:t>- 3 -</w:t>
      </w:r>
    </w:p>
    <w:p>
      <w:r>
        <w:t>en l'occurrence, peut également s'appliquer la Convention du Conseil de l'Europe relative au blanchiment, au dépistage, à la saisie et à la confiscation des produits du crime (CBl; RS 0.311.53);</w:t>
      </w:r>
    </w:p>
    <w:p>
      <w:r>
        <w:t>pour le surplus, la loi fédérale sur l'entraide pénale internationale en matière pénale (EIMP; RS 351.1) et son ordonnance d'exécution (OEIMP; RS 351.11) règlent les questions qui ne sont pas régies, explicitement ou implicitement, par les traités (ATF 130 II 337 consid. 1; 128 II 355 consid. 1 et la jurisprudence citée); le droit interne s'applique en outre lorsqu'il est plus favorable à l'octroi de l'entraide (ATF 142 IV 250 consid. 3 ; 140 IV 123 consid. 2; 137 IV 33 consid. 2.2.2 et les références citées); le principe du droit le plus favorable à l'entraide s'applique aussi pour ce qui concerne le rapport entre elles des normes internationales pertinentes (v. art. 48 par. 2 CAAS); l'application de la norme la plus favorable doit avoir lieu dans le respect des droits fondamentaux (ATF 135 IV 212 consid. 2.3; 123 II 595 consid. 7c);</w:t>
      </w:r>
    </w:p>
    <w:p>
      <w:r>
        <w:t>la Cour des plaintes du Tribunal pénal fédéral est compétente pour connaître des recours dirigés contre les décisions rendues par les autorités d'exécution (art. 25 al. 1 et 80e EIMP, mis en relation avec l'art. 37 al. 2 let. a ch. 1 de la loi fédérale sur l'organisation des autorités pénales de la Confédération [LOAP; RS 173.71]);</w:t>
      </w:r>
    </w:p>
    <w:p>
      <w:r>
        <w:t>les décisions incidentes antérieures à la décision de clôture, telle l’ordonnance de séquestre en question, ne sont attaquables séparément, selon l'art. 80e al. 2 EIMP, qu'en cas de préjudice immédiat et irréparable découlant de la saisie d'objets ou de valeurs (let. a) ou de la présence de personnes participant à la procédure à l'étranger (let. b);</w:t>
      </w:r>
    </w:p>
    <w:p>
      <w:r>
        <w:t>la notion de préjudice immédiat et irréparable doit être interprétée de manière restrictive (arrêt du Tribunal pénal fédéral RR.2007.131 du 27 novembre 2007, consid. 2.1 et la jurisprudence citée);</w:t>
      </w:r>
    </w:p>
    <w:p>
      <w:r>
        <w:t>le prononcé d'un séquestre ne crée pas ipso facto un dommage immédiat et irréparable ouvrant la voie du recours; pour que la condition de l'art. 80e al. 2 let. b EIMP soit remplie, il faut que la personne touchée rende vraisemblable que la mesure qu'elle critique lui cause un tel dommage et en quoi celui-ci pourrait être évité par l'annulation de la décision attaquée (ATF 128 II 211 consid. 2.1);</w:t>
      </w:r>
    </w:p>
    <w:p>
      <w:r>
        <w:t>il incombe alors au plaideur d'indiquer, dans l'acte de recours, en quoi consiste le préjudice prétendument subi et pourquoi ce préjudice ne serait</w:t>
      </w:r>
    </w:p>
    <w:p>
      <w:r>
        <w:t>- 4 -</w:t>
      </w:r>
    </w:p>
    <w:p>
      <w:r>
        <w:t>pas totalement prévenu par un arrêt annulant, le cas échéant, la décision de clôture qui interviendra ultérieurement;</w:t>
      </w:r>
    </w:p>
    <w:p>
      <w:r>
        <w:t>un tel préjudice consiste par exemple dans l'impossibilité de satisfaire à des obligations échues (paiement de salaires, intérêts, impôts, prétentions exigibles, etc.), dans le fait d'être exposé à des actes de poursuite ou de faillite, ou à la révocation d'une autorisation administrative, ou dans l'impossibilité de conclure des affaires sur le point d'aboutir (ATF 128 II 353 consid. 3);</w:t>
      </w:r>
    </w:p>
    <w:p>
      <w:r>
        <w:t>l'éventuel préjudice ne doit pas simplement être allégué par le recourant, mais rendu vraisemblable sur la base d'éléments spécifiques et concrets (idem); la seule nécessité de faire face à des dépenses administratives courantes ne suffit pas, en règle générale, à rendre vraisemblable un préjudice immédiat et irréparable (arrêts du Tribunal fédéral 1A.206/2001 du 9 janvier 2002, consid. 2.2; 1A.39/2002 du 2 avril 2002, consid. 3; arrêt du Tribunal pénal fédéral RR.2007.126 du 26 septembre 2007, consid. 2.3); de même, le recourant doit rendre vraisemblable qu'il ne dispose pas d'autres ressources financières en suffisance pour faire face à ses obligations (cf. arrêt du Tribunal fédéral 1A.130/2006 du 28 juillet 2006, consid. 1.3; arrêt du Tribunal pénal fédéral RR.2009.155 du 7 mai 2009, consid. 2.5.1); le préjudice au sens de l'art. 80e let. b EIMP ne doit pas nécessairement être réalisé pour être immédiat; si de simples conjectures ou hypothèses ne démontrent pas ce caractère, une perspective sérieuse et rapprochée peut suffire (arrêt du Tribunal fédéral 1A.86/2004 du 8 juin 2004, consid. 2);</w:t>
      </w:r>
    </w:p>
    <w:p>
      <w:r>
        <w:t>en l'espèce, le recourant est totalement muet quant à la question d’un éventuel préjudice immédiat et irréparable au sens de l'art. 80e al. 2 EIMP;</w:t>
      </w:r>
    </w:p>
    <w:p>
      <w:r>
        <w:t>partant, il échoue à en démontrer l’existence;</w:t>
      </w:r>
    </w:p>
    <w:p>
      <w:r>
        <w:t>à défaut d'un dommage immédiat et irréparable, le recours interjeté contre la décision incidente du MP-GE doit être déclaré irrecevable;</w:t>
      </w:r>
    </w:p>
    <w:p>
      <w:r>
        <w:t>en tant que partie qui succombe, le recourant doit supporter les frais du présent arrêt (art. 63 al. 1 PA), lesquels sont fixés à CHF 2'000.-- (art. 73 al. 2 LOAP et art. 8 al. 3 du règlement du Tribunal pénal fédéral du 31 août 2010 sur les frais, émoluments, dépens et indemnités de la procédure pénale fédérale [RFPPF; RS 173.713.162]; art. 63 al. 5 PA), réputé couvert par l’avance de frais acquittée; le solde sera restitué au recourant par la Caisse du Tribunal pénal fédéral.</w:t>
      </w:r>
    </w:p>
    <w:p>
      <w:r>
        <w:t>- 5 -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