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RR.2017.86 vom 3. Oktober 2017</w:t>
      </w:r>
    </w:p>
    <w:p>
      <w:r>
        <w:t>Bundesstrafgericht, 2017-10-03, FR</w:t>
      </w:r>
    </w:p>
    <w:p>
      <w:r>
        <w:rPr>
          <w:b/>
        </w:rPr>
        <w:t xml:space="preserve">Quelle: </w:t>
      </w:r>
      <w:r>
        <w:t>https://mcp.opencaselaw.ch/entscheid/bstger_RR.2017.86</w:t>
      </w:r>
    </w:p>
    <w:p>
      <w:r>
        <w:t>FR: TPF RR.2017.86 du 3 octobre 2017</w:t>
      </w:r>
    </w:p>
    <w:p>
      <w:r>
        <w:t>IT: TPF RR.2017.86 del 3 ottobre 2017</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129 II 462 consid. 1.1; 124 II 180 consid. 1.3; arrêt du Tribunal pénal fédéral RR.2010.9 du 15 avril 2010,</w:t>
      </w:r>
    </w:p>
    <w:p>
      <w:r>
        <w:t>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3.1</w:t>
      </w:r>
    </w:p>
    <w:p>
      <w:r>
        <w:t>Selon l'art. 80h let. b EIMP, la qualité pour recourir contre une mesure d'entraide judiciaire est reconnue à celui qui est personnellement et directement touché par celle-ci. Les recourants ont tous deux la qualité pour agir (arrêt du Tribunal pénal fédéral RR.2015.142-143/RR.2015.144-145 du 30 octobre 2015, consid. 5.3.4).</w:t>
      </w:r>
    </w:p>
    <w:p>
      <w:r>
        <w:rPr>
          <w:b/>
        </w:rPr>
        <w:t>E. 3.2</w:t>
      </w:r>
    </w:p>
    <w:p>
      <w:r>
        <w:t>Le délai de recours contre l'ordonnance de clôture est de 30 jours dès la communication écrite de celle-ci (art. 80k EIMP). Déposé à un bureau de poste suisse le 12 avril 2017, le recours est intervenu en temps utile.</w:t>
      </w:r>
    </w:p>
    <w:p>
      <w:r>
        <w:rPr>
          <w:b/>
        </w:rPr>
        <w:t>E. 3.3</w:t>
      </w:r>
    </w:p>
    <w:p>
      <w:r>
        <w:t>Le recours étant recevable, il y a lieu d'entrer en matière.</w:t>
      </w:r>
    </w:p>
    <w:p>
      <w:r>
        <w:rPr>
          <w:b/>
        </w:rPr>
        <w:t>E. 4.1</w:t>
      </w:r>
    </w:p>
    <w:p>
      <w:r>
        <w:t>Dans leurs conclusions notamment, les recourants demandent que le MPC informe l’autorité requérante qu’aucune utilisation ne peut être faite des éléments qui lui ont déjà été transmis en lien avec la surveillance technique effectuée.</w:t>
      </w:r>
    </w:p>
    <w:p>
      <w:r>
        <w:rPr>
          <w:b/>
        </w:rPr>
        <w:t>E. 4.2</w:t>
      </w:r>
    </w:p>
    <w:p>
      <w:r>
        <w:t>Compte tenu de la jurisprudence précitée du Tribunal fédéral rendue après le dépôt du présent recours, mais dans ce même complexe de faits (supra let. M), le grief que les recourants font valoir quant à l’illicéité de la transmission anticipée est fondé (ATF 143 IV 186 consid. 2.3). En revanche, conformément à ce qu’a décidé la Haute Cour, cela n’entraîne pas pour autant ipso facto l’annulation formelle ou la modification des décisions incidentes rendues par le MPC ni d'ordonner, comme le voudraient les</w:t>
      </w:r>
    </w:p>
    <w:p>
      <w:r>
        <w:t>recourants, une intervention auprès de l'autorité requérante (arrêt précité du Tribunal fédéral, consid. 3). Il y a lieu en effet d’examiner au préalable la validité de la décision de clôture ici contestée. Sur ce point, les recourants ne peuvent donc être suivis. Cela étant, il sera tenu compte de cette configuration particulière dans le décompte des frais.</w:t>
      </w:r>
    </w:p>
    <w:p>
      <w:r>
        <w:rPr>
          <w:b/>
        </w:rPr>
        <w:t>E. 5.1</w:t>
      </w:r>
    </w:p>
    <w:p>
      <w:r>
        <w:t>Les recourants invoquent au surplus qu'in casu le principe de la proportionnalité est violé sous l’angle de l’utilité potentielle. Pour motifs, ils soutiennent notamment qu’aucun tri n’a été effectué dans les éléments dont la transmission est envisagée puisque selon eux il est patent que les écoutes téléphoniques retranscrites n’ont aucun lien avec les opérations figurant dans les demandes d’entraide. Ils soulignent, par exemple, qu’aucune des conversations interceptées n’a été nouée avec l’une ou l’autre des personnes figurant sur la liste des initiés primaires établie par l’autorité requérante. Ils rappellent en outre que dans sa demande l’autorité requérante avait sollicité les mesures techniques contestées dans l’espoir « d’intercepter en temps réel une conversation relative à une transaction réalisée sur la base d’information privilégiée » afin de « fournir une preuve des agissements délictueux des différents protagonistes de l’enquête », mais que tel n’a pas été le cas.</w:t>
      </w:r>
    </w:p>
    <w:p>
      <w:r>
        <w:rPr>
          <w:b/>
        </w:rPr>
        <w:t>E. 5.2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w:t>
      </w:r>
    </w:p>
    <w:p>
      <w:r>
        <w:t>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La coopération judiciaire internationale en matière pénale, 4e éd. 2014, n° 280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 Enfin, sous l'angle du principe de l'utilité potentielle, il doit être possible pour l'autorité d'investiguer en amont et en aval du complexe de faits décrit dans la demande et de remettre des documents antérieurs ou postérieurs à l'époque des faits indiqués, lorsque comme en la présente espèce les faits poursuivis s'étendent sur une longue période.</w:t>
      </w:r>
    </w:p>
    <w:p>
      <w:r>
        <w:rPr>
          <w:b/>
        </w:rPr>
        <w:t>E. 5.3</w:t>
      </w:r>
    </w:p>
    <w:p>
      <w:r>
        <w:t>La demande d’entraide de novembre 2014 requérait expressément de la part</w:t>
      </w:r>
    </w:p>
    <w:p>
      <w:r>
        <w:t>des autorités suisses d’abord l’identification des titulaires de certains numéros de téléphone, au nombre desquels celui utilisé par A. Elle sollicitait en outre à ce propos la communication de leurs relevés d’appels pour la période allant du 1er octobre 2012 au 30 septembre 2014, et ce, afin d’identifier d’éventuels contacts entre les différentes personnes visées par les investigations françaises: C., N., A., mais aussi O. et P. ou tout autre intervenant identifié, avant la réalisation des transactions litigieuses. Cela étant, force est de relever que le MPC n’est pas allé au-delà des conclusions de la demande d’entraide, bien au contraire, ce d’autant que plusieurs conversations téléphoniques enregistrées se déroulent précisément entre les personnes mises en cause par les autorités requérantes. Les recourants soutiennent que de telles mesures intervenaient trop tard par rapport aux dates des infractions reprochées. Ils oublient ce faisant que l’autorité requérante souhaitait, par le biais des écoutes, élucider les relations entre les différents protagonistes des opérations sous enquête. Afin d’atteindre ce but, il était aussi nécessaire d’aller au-delà de la fenêtre temporelle dessinée par les dates des infractions suspectées. Etant donné la nature des infractions en question, il n’est pas rare qu’après des ententes intervenues avant les transactions, les gains découlant d’opérations d’initiés soient répartis entre les différents acteurs une fois terminée la transaction sur les titres manipulés. Dès lors, même des conversations téléphoniques chronologiquement antérieures ou postérieures à la période critique sont potentiellement utiles à l’enquête. Cette façon de procéder est conforme à la jurisprudence citée (supra consid. 5.2) qui considère comme étant propre à l’entraide de favoriser la découverte de faits, d'informations et de moyens de preuve, y compris ceux dont l'autorité de poursuite étrangère ne soupçonne pas l'existence. Il en découle que rien ne peut être reproché au MPC quant à la procédure mise en place in casu,</w:t>
      </w:r>
    </w:p>
    <w:p>
      <w:r>
        <w:rPr>
          <w:b/>
        </w:rPr>
        <w:t>E. 6</w:t>
      </w:r>
    </w:p>
    <w:p>
      <w:r>
        <w:t>Les recourants contestent également le bien-fondé de la transmission anticipée des conversations interceptées les 19 et 20 novembre 2014. Dans la mesure où dans son arrêt du 27 mars 2017 (supra let. M), le Tribunal fédéral a admis qu’une telle remise n’aurait pas dû avoir lieu faute de base légale, ce grief n’a en l’état plus à être examiné, quelle que soit la motivation développée par les recourants à l’appui de ce dernier. En revanche, compte tenu du fait que dans sa demande complémentaire du 25 janvier 2016 l’autorité requérante fait expressément mention d’une dépêche parue le 19 novembre 2014 relative à M. (supra let. I) et que dans une conversation du 20 novembre 2014, A. y fait spécifiquement référence, sa remise aujourd’hui apparaît parfaitement justifiée. Il en est de même des</w:t>
      </w:r>
    </w:p>
    <w:p>
      <w:r>
        <w:t>autres enregistrements puisque, on l’a vu, ils permettent de vérifier les contacts que les prévenus auraient eu entre eux en lien avec la réalisation des transactions suspectes.</w:t>
      </w:r>
    </w:p>
    <w:p>
      <w:r>
        <w:rPr>
          <w:b/>
        </w:rPr>
        <w:t>E. 7.1</w:t>
      </w:r>
    </w:p>
    <w:p>
      <w:r>
        <w:t>Les recourants se réfèrent par ailleurs à une décision du Conseil constitutionnel français du 21 juillet 2017 par laquelle ce dernier a déclaré contraire à la constitution française l’article du code monétaire et financier ayant permis à l’AMF d’accéder aux données électroniques des prévenus. Ils considèrent dès lors que le MPC doit s’assurer de la conformité au droit dans l’Etat requérant de la procédure ayant porté à la demande d’entraide.</w:t>
      </w:r>
    </w:p>
    <w:p>
      <w:r>
        <w:rPr>
          <w:b/>
        </w:rPr>
        <w:t>E. 7.2</w:t>
      </w:r>
    </w:p>
    <w:p>
      <w:r>
        <w:t>L’argument tombe à faux. En effet, en règle générale l’Etat requis n’a pas à examiner la validité des moyens de preuve recueillis par l’Etat requérant. En outre, il ne lui appartient pas de prendre en compte dans le cadre de la procédure d’entraide des éléments à décharge que la personne soumise à des mesures de contrainte pourrait lui soumettre, de nature à mettre en échec la poursuite ouverte dans l’Etat requérant: c’est à ce dernier et à lui seul d’examiner le bien-fondé de l’accusation (ZIMMERMANN, op. cit., no 299). En conséquence, le sort de la procédure devant le Conseil constitutionnel français ne saurait avoir en l’état d’incidence sur celui de la présente procédure d’entraide, ce d’autant que cette institution a décidé de reporter l’abrogation de la disposition contestée au 31 décembre 2018 (act. 20.1 p. 5 pt 12).</w:t>
      </w:r>
    </w:p>
    <w:p>
      <w:r>
        <w:rPr>
          <w:b/>
        </w:rPr>
        <w:t>E. 8.1</w:t>
      </w:r>
    </w:p>
    <w:p>
      <w:r>
        <w:t>Les recourants font enfin valoir que la transmission des documents et données collectés viole le principe de la subsidiarité. Selon eux, puisque des perquisitions ont aussi été menées à la demande des autorités requérantes et que ces dernières ont reçu les documents saisis à cette occasion, ces éléments devraient suffire sans qu’il soit nécessaire de transmettre les données issues des mesures de surveillance.</w:t>
      </w:r>
    </w:p>
    <w:p>
      <w:r>
        <w:rPr>
          <w:b/>
        </w:rPr>
        <w:t>E. 8.2</w:t>
      </w:r>
    </w:p>
    <w:p>
      <w:r>
        <w:t>L’argument est inopérant. Il ressort en effet clairement de la demande d’entraide que les autorités françaises sollicitaient expressément qu’il soit procédé à des écoutes téléphoniques. Face à cette requête, l’autorité d’exécution ne pouvait se soustraire à la mise en place d’une telle mesure, ce d’autant que l’on ne voit pas quelle autre solution moins incisive aurait pu permettre d’intercepter des conversations téléphoniques en temps réel. Partant, ce grief doit être écarté.</w:t>
      </w:r>
    </w:p>
    <w:p>
      <w:r>
        <w:rPr>
          <w:b/>
        </w:rPr>
        <w:t>E. 9</w:t>
      </w:r>
    </w:p>
    <w:p>
      <w:r>
        <w:t>Compte tenu de ce qui précède, le recours, mal fondé est rejeté.</w:t>
      </w:r>
    </w:p>
    <w:p>
      <w:r>
        <w:rPr>
          <w:b/>
        </w:rPr>
        <w:t>E. 10</w:t>
      </w:r>
    </w:p>
    <w:p>
      <w:r>
        <w:t>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Il doit en l'occurrence être réduit du fait que les recourants étaient fondés à s’en prendre à une transmission anticipée des données recueillies par le biais des contrôles téléphoniques ordonnés (supra consid. 4.2). Ils supporteront dès lors solidairement des frais réduits et fixés à CHF 4'000.-- (art. 73 al. 2 LOAP et art. 8 al. 3 du règlement du Tribunal pénal fédéral sur les frais, émoluments, dépens et indemnités de la procédure pénale fédérale [RFPPF; RS 173.713.162] et art. 63 al. 5 PA). Les recourants ayant versé CHF 5'000.-- à titre d'avance de frais, l'émolument du présent arrêt est couvert par celle-ci et la caisse du Tribunal pénal fédéral leur restituera le solde par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