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RR.2017.67 vom 12. April 2017</w:t>
      </w:r>
    </w:p>
    <w:p>
      <w:r>
        <w:t>Bundesstrafgericht, 2017-04-12, DE</w:t>
      </w:r>
    </w:p>
    <w:p>
      <w:r>
        <w:rPr>
          <w:b/>
        </w:rPr>
        <w:t xml:space="preserve">Quelle: </w:t>
      </w:r>
      <w:r>
        <w:t>https://mcp.opencaselaw.ch/entscheid/bstger_RR.2017.67</w:t>
      </w:r>
    </w:p>
    <w:p>
      <w:r>
        <w:t>FR: TPF RR.2017.67 du 12 avril 2017</w:t>
      </w:r>
    </w:p>
    <w:p>
      <w:r>
        <w:t>IT: TPF RR.2017.67 del 12 aprile 2017</w:t>
      </w:r>
    </w:p>
    <w:p>
      <w:pPr>
        <w:pStyle w:val="Heading2"/>
      </w:pPr>
      <w:r>
        <w:t>Regeste</w:t>
      </w:r>
    </w:p>
    <w:p>
      <w:r>
        <w:t>Internationale Rechtshilfe in Strafsachen an die Niederlande.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Für die Rechtshilfe zwischen der Niederlande und der Schweiz sind in erster Linie das Europäische Übereinkommen über die Rechtshilfe in Strafsachen vom 20. April 1959 (EUeR; SR 0.351.1) sowie die Bestimmungen der Art. 48 ff. des Übereinkommens vom 19. Juni 1990 zur Durchführung des Übereinkommens von Schengen vom 14. Juni 1985 (Schengener Durchfüh- rungsübereinkommen, SDÜ; ABl. L 239 vom 22. September 2000, S. 19–62) massgebend.</w:t>
      </w:r>
    </w:p>
    <w:p>
      <w:r>
        <w:rPr>
          <w:b/>
        </w:rPr>
        <w:t>E. 1.2</w:t>
      </w:r>
    </w:p>
    <w:p>
      <w:r>
        <w:t>Soweit diese Staatsverträge bestimmte Fragen weder ausdrücklich noch stillschweigend regeln, bzw. das schweizerische Landesrecht geringere An- forderungen an die Rechtshilfe stellt (sog. Günstigkeitsprinzip; BGE 142 IV 250 E. 3; 140 IV 123 E. 2; 136 IV 82 E. 3.1; 135 IV 212 E. 2.3; ZIMMERMANN,</w:t>
      </w:r>
    </w:p>
    <w:p>
      <w:r>
        <w:t>- 4 -</w:t>
      </w:r>
    </w:p>
    <w:p>
      <w:r>
        <w:t>La coopération judiciaire internationale en matière pénale, 4. Aufl., Bern 2014, N. 229), ist das Bundesgesetz vom 20. März 1981 über interna- tionale Rechtshilfe in Strafsachen (IRSG; SR 351.1) und die dazugehörige Verordnung vom 24. Februar 1982 (IRSV; SR 351.11) anwendbar (Art. 1 Abs. 1 IRSG; BGE 136 IV 82 E. 3.2; 130 II 337 E. 1). Vorbehalten bleibt die Wahrung der Menschenrechte (BGE 135 IV 212 E. 2.3; 123 II 595 E. 7c; ZIM- MERMANN, a.a.O., N. 211 ff., 223 ff., 680 ff.). Auf das vorliegende Beschwerdeverfahren sind zudem anwendbar die Be- stimmungen des Bundesgesetzes vom 20. Dezember 1968 über das Ver- waltungsverfahren (Verwaltungsverfahrensgesetz, VwVG; SR 172.021; Art. 39 Abs. 2 lit. b i.V.m. Art. 37 Abs. 2 lit. a des Bundesgesetzes vom 19. März 2010 über die Organisation der Strafbehörden des Bundes [Straf- behördenorganisationsgesetz, StBOG; SR 173.71]; BGE 139 II 404 E. 6/8.2; ZIMMERMANN, a.a.O., N. 273).</w:t>
      </w:r>
    </w:p>
    <w:p>
      <w:r>
        <w:rPr>
          <w:b/>
        </w:rPr>
        <w:t>E. 1.3</w:t>
      </w:r>
    </w:p>
    <w:p>
      <w:r>
        <w:t>Gegen die Verfügung vom 17. Oktober 2016 wurde am 28. Oktober 2016 rechtzeitig Beschwerde nach StPO erhoben. Zu prüfen ist, ob auf die Ein- gabe (nach der Weiterleitung durch das Zürcher Obergericht mit Beschluss vom 16. März 2017) als IRSG-Beschwerde einzutreten ist. Der Schlussverfügung vorangehende Zwischenverfügungen können selb- ständig angefochten werden, sofern sie einen unmittelbaren und nicht wieder gutzumachenden Nachteil bewirken (a.) durch die Beschlagnahme von Ver- mögenswerten und Wertgegenständen oder (b.) durch die Anwesenheit von Personen, die am ausländischen Prozess beteiligt sind (Art. 80e Abs. 2 lit. a und b IRSG). Zwischenentscheide können nur in sehr eingeschränkten Fäl- len angefochten werden. Die heutige Lösung entstand in der IRSG-Revision von 1996, welche namentlich den Zweck hatte, die Rechtsmittelwege zu straffen. Litera a und b zählen daher grundsätzlich abschliessend die Fälle auf, in denen ein unmittelbarer und nicht wieder gutzumachender Nachteil im Sinne von Art. 80e Abs. 2 IRSG zu bejahen ist (BGE 126 II 495 E. 5a bis d; BGE 127 II 198 E. 2b; TPF 2011 205 E. 1.4.1; ZIMMERMANN, a.a.O., N. 511–516).</w:t>
      </w:r>
    </w:p>
    <w:p>
      <w:r>
        <w:rPr>
          <w:b/>
        </w:rPr>
        <w:t>E. 1.4</w:t>
      </w:r>
    </w:p>
    <w:p>
      <w:r>
        <w:t>Angefochten ist die Verfügung der Staatsanwaltschaft I vom 17. Okto- ber 2016, ein Zwischenentscheid im Rechtshilfeverfahren. Die Verfügung stellt fest, dass dem Zeugen kein Zeugnisverweigerungsrecht zusteht. Damit liegt kein Anwendungsfall von litera a) und b) von Art. 80e Abs. 2 IRSG vor und es ist mithin kein unmittelbarer und nicht wieder gutzumachender Nach- teil ersichtlich, der die Anfechtung des Zwischenentscheides erlauben würde: Rechtsschutz kann ohne Rechtsnachteil für den Beschwerdeführer</w:t>
      </w:r>
    </w:p>
    <w:p>
      <w:r>
        <w:t>- 5 -</w:t>
      </w:r>
    </w:p>
    <w:p>
      <w:r>
        <w:t>gegen die Schlussverfügung, vor einer eventuellen Herausgabe des Beweis- mittels an den ersuchenden Staat, verlangt werden. Der Zeuge ist nach der Rechtsprechung des Bundesgerichtes legitimiert, eine rechtshilfeweise Her- ausgabe der Befragungsprotokolle anzufechten, soweit seine eigenen Aus- sagen auch ihn selbst betreffen oder soweit er sich auf ein Zeugnisverwei- gerungsrecht berufen kann (BGE 137 IV 134 E. 5.2.4). Ist die Beschwerde nach IRSG folglich unzulässig, hat ein Nichteintretens-Entscheid zu erge- hen.</w:t>
      </w:r>
    </w:p>
    <w:p>
      <w:r>
        <w:rPr>
          <w:b/>
        </w:rPr>
        <w:t>E. 2</w:t>
      </w:r>
    </w:p>
    <w:p>
      <w:r>
        <w:t>In Würdigung der massgebenden Kriterien sind keine Gerichtskosten zu er- heben.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