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 vom 5. Mai 2017</w:t>
      </w:r>
    </w:p>
    <w:p>
      <w:r>
        <w:t>Bundesstrafgericht, 2017-05-05, IT</w:t>
      </w:r>
    </w:p>
    <w:p>
      <w:r>
        <w:rPr>
          <w:b/>
        </w:rPr>
        <w:t xml:space="preserve">Quelle: </w:t>
      </w:r>
      <w:r>
        <w:t>https://mcp.opencaselaw.ch/entscheid/bstger_RR.2017.5</w:t>
      </w:r>
    </w:p>
    <w:p>
      <w:r>
        <w:t>FR: TPF RR.2017.5 du 5 mai 2017</w:t>
      </w:r>
    </w:p>
    <w:p>
      <w:r>
        <w:t>IT: TPF RR.2017.5 del 5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 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 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 ridica (DTF 124 II 184 consid. 4b/cc pag. 188).</w:t>
      </w:r>
    </w:p>
    <w:p>
      <w:r>
        <w:t>- 5 -</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I., H., K. e J.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 quello funzionale così come il rappresentante di un’impresa statale o parasta- tale (v. PIETH, Commentario basilese, 3a ediz., Basilea 2013, n. 11 e segg. (in 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 nere appalti in ambito petrolifero sarebbe sussumibile, se i medesimi fatti fos- sero trasposti nel diritto svizzero, al reato di corruzione di pubblici ufficiali stra-</w:t>
      </w:r>
    </w:p>
    <w:p>
      <w:r>
        <w:t>- 6 -</w:t>
      </w:r>
    </w:p>
    <w:p>
      <w:r>
        <w:t>nieri ai sensi dell’art. 322septies CP. Precisato che non sta al giudice dell’assi- stenza approfondire ulteriormente i fatti presentati dall’autorità rogante, dai quali non vi è ragione di scostarsi, quanto precede è sufficiente per ritenere adem- piuto il requisito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La censura in questo ambito va dunque disattesa.</w:t>
      </w:r>
    </w:p>
    <w:p>
      <w:r>
        <w:rPr>
          <w:b/>
        </w:rPr>
        <w:t>E. 3</w:t>
      </w:r>
    </w:p>
    <w:p>
      <w:r>
        <w:t>La ricorrente sostiene di essere una piccola società fiduciaria di servizi che svolge attività di back-office (dunque a carattere prettamente amministrativo) per conto di azionisti di G. SA. L’analisi dei movimenti intervenuti sulla relazione n. 1 consentirebbe di constatare l’assenza di qualsiasi flusso in entrata o in uscita con controparti menzionate nei fatti della commissione rogatoria, ciò che renderebbe priva di qualsiasi utilità la documentazione litigiosa. A suo dire, il fatto di voler acquisire la documentazione di tutti i conti di cui egli sarebbe be- neficiario economico costituirebbe una fishing expedition. In sede di replica, la ricorrente ha chiesto l’acquisizione agli atti della documentazione bancaria liti- giosa (v. act. 13 pag. 3 e seg.).</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 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w:t>
      </w:r>
    </w:p>
    <w:p>
      <w:r>
        <w:t>- 7 -</w:t>
      </w:r>
    </w:p>
    <w:p>
      <w:r>
        <w:t>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 bunale federale 1A.182/2006 del 9 agosto 2007, consid. 3.2; cfr. anche DTF 130 II 14 consid. 4.1). La trasmissione dell'intera documentazione potrà evitare altresì l'inoltro di eventuali domande complementari (DTF 136 IV 82 con- sid. 4.1; 121 II 241 consid. 3; sentenza del Tribunale federale 1C_486/2008 dell'11 novembre 2008, consid. 2.4). Si tratta di una maniera di procedere ne- 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 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M. (con avente diritto economico F. NV) presso la banca N. di Lugano, da cui sarebbero partiti i pagamenti corruttivi, tra cui viene in particolare individuato il pagamento per complessivi fr. 539'000.-- ese- guito nel febbraio 2012 a favore di un conto il cui avente diritto economico è O. (pubblico ufficiale brasiliano). Con riferimento alla richiesta di documentazione</w:t>
      </w:r>
    </w:p>
    <w:p>
      <w:r>
        <w:t>- 8 -</w:t>
      </w:r>
    </w:p>
    <w:p>
      <w:r>
        <w:t>bancaria relativa alla società F. NV, H., I., J., K. e L., l’autorità rogante ha pre- cisato di non essere in possesso dei dati relativi ai conti correnti o alle banche in cui gli stessi sono detenuti, ma che la società F. NV (riconducibile a H., I., J. e K.) è la società intestataria del conto M. da cui proverrebbero i fondi utilizzati per i pagamenti corruttivi. L. sarebbe invece il soggetto che avrebbe ammesso di aver percepito pagamenti corruttivi per conti di P., dirigente della società D. (v. rubrica 18 atti MPC).</w:t>
      </w:r>
    </w:p>
    <w:p>
      <w:r>
        <w:rPr>
          <w:b/>
        </w:rPr>
        <w:t>E. 3.3</w:t>
      </w:r>
    </w:p>
    <w:p>
      <w:r>
        <w:t>La relazione n. 1 intestata a A. SA è stata aperta il 6 novembre 1978 (doc. MPC1_20160919_006_0001_F). Avente diritto economico è Q. SA (gruppo F. NV) fino al 23 dicembre 2013, sostituita successivamente da svariate per- sone fisiche, tra le quali I., R. e S. (doc. MPC1_20160919_006_0013_F, doc. MPC1_20160919_006_0014_F, doc. MPC1_20160919_006_0015_F). Benefi- ciaria di una procura di visione risulta essere la società G. SA, Lugano (doc. MPC1_20160919_006_0042_F). Dall’esame della documentazione bancaria, prodotta (su supporto elettronico) dal MPC in sede di risposta, risulta che la relazione in questione è stata utilizzata dalla ricorrente per svolgere la sua atti- vità di back-office per società facenti capo ad alcuni azionisti della holding F. NV (doc. MPC1_20160919_006_00116_F, doc. MPC1_20160919_006_0196_F, doc. MPC1_20160919_006_0612_F). Ora, pur non essendo state evidenziate operazioni con persone espressamente menzionate in rogatoria, tenuto conto del ruolo della famiglia di I. (controllante, per il tramite della società Q. SA, di F. NV), della società F. NV e del gruppo C. S.p.A., nonché del fatto che l’inte- statario del conto è indagato nel procedimento estero occorre concludere che la documentazione concernente la relazione n. 1 è da considerarsi potenzial- mente utile per le autorità estere, anche perché potrebbe contenere nuove in- formazioni relative ad altri soggetti implicati e a flussi di cui gli inquirenti esteri non hanno ancora conoscenza.</w:t>
      </w:r>
    </w:p>
    <w:p>
      <w:r>
        <w:rPr>
          <w:b/>
        </w:rPr>
        <w:t>E. 3.4</w:t>
      </w:r>
    </w:p>
    <w:p>
      <w:r>
        <w:t>In conclusione, sospettando l’autorità estera l’utilizzo da parte degli indagati del conto di cui sopra a fini corruttivi, la documentazione oggetto della decisione di chiusura impugnata può senz’altro risultare utile per l’inchiesta estera. Vista la natura dei reati perseguiti all’estero, tutta la documentazione relativa alla rela- zione in questione è necessaria per ricostruire con la massima precisione i flussi di denaro intervenuti. Spetterà comunque al giudice estero del merito valutare se dalla documentazione richiesta emerge in concreto una connessione penal- mente rilevante fra i fatti perseguiti in Italia e detta documentazione. Alla luce della domanda rogatoriale e del relativo complemento, che ben specificano la fattispecie oggetto di indagine, risulta che tutta la documentazione litigiosa è potenzialmente utile per l’inchiesta, motivo per cui la sua trasmissione rispetta il principio della proporzionalità e non costituisce un'inammissibile fishing expe- dition.</w:t>
      </w:r>
    </w:p>
    <w:p>
      <w:r>
        <w:t>- 9 -</w:t>
      </w:r>
    </w:p>
    <w:p>
      <w:r>
        <w:rPr>
          <w:b/>
        </w:rPr>
        <w:t>E. 4</w:t>
      </w:r>
    </w:p>
    <w:p>
      <w:r>
        <w:t>In definitiva, la decisione impugnata va integralmente confermata e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