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RR.2017.339 vom 17. April 2018</w:t>
      </w:r>
    </w:p>
    <w:p>
      <w:r>
        <w:t>Bundesstrafgericht, 2018-04-17, FR</w:t>
      </w:r>
    </w:p>
    <w:p>
      <w:r>
        <w:rPr>
          <w:b/>
        </w:rPr>
        <w:t xml:space="preserve">Quelle: </w:t>
      </w:r>
      <w:r>
        <w:t>https://mcp.opencaselaw.ch/entscheid/bstger_RR.2017.339</w:t>
      </w:r>
    </w:p>
    <w:p>
      <w:r>
        <w:t>FR: TPF RR.2017.339 du 17 avril 2018</w:t>
      </w:r>
    </w:p>
    <w:p>
      <w:r>
        <w:t>IT: TPF RR.2017.339 del 17 aprile 2018</w:t>
      </w:r>
    </w:p>
    <w:p>
      <w:pPr>
        <w:pStyle w:val="Heading2"/>
      </w:pPr>
      <w:r>
        <w:t>Regeste</w:t>
      </w:r>
    </w:p>
    <w:p>
      <w:r>
        <w:t>Entraide judiciaire internationale en matière pénale à la Grèce. Remise de moyens de preuve (art. 74 EIMP).</w:t>
      </w:r>
    </w:p>
    <w:p>
      <w:pPr>
        <w:pStyle w:val="Heading2"/>
      </w:pPr>
      <w:r>
        <w:t>Erwägungen</w:t>
      </w:r>
    </w:p>
    <w:p>
      <w:r>
        <w:rPr>
          <w:b/>
        </w:rPr>
        <w:t>E. 1.1</w:t>
      </w:r>
    </w:p>
    <w:p>
      <w:r>
        <w:t>L'entraide judiciaire entre la Grèce et la Confédération suisse est régie par la Convention européenne d'entraide judiciaire en matière pénale et ses pro- tocoles additionnels (CEEJ; RS 0.351.1 et suivants). Les art. 48 ss de la Convention d'application de l'Accord Schengen du 14 juin 1985 (CAAS; n° CELEX 42000A0922(02); Journal officiel de l'Union européenne L 239 du 22 septembre 2000, p. 19 à 62; publication de la Chancellerie fédérale, "En- traide et extradition") trouvent également application en l'espèce. S'agissant d'une demande d'entraide présentée notamment pour la répression du blan- 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124 II 180 consid. 1.3; 129 II 462 consid. 1.1; arrêt du Tribunal pénal fédéral RR.2010.9 du 15 avril 2010, con- sid. 1.3).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t>- 4 -</w:t>
      </w:r>
    </w:p>
    <w:p>
      <w:r>
        <w:rPr>
          <w:b/>
        </w:rPr>
        <w:t>E. 1.3</w:t>
      </w:r>
    </w:p>
    <w:p>
      <w:r>
        <w:t>Aux termes de l'art. 80h let. b EIMP, a qualité pour recourir en matière d'en- 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réputé personnellement et directement touché au sens de l'art. 21 al. 3, et 80h EIMP, en cas d'informations sur un compte, le titulaire du compte notamment (cf. par exemple arrêt du Tribunal pénal fédéral RR.2015.135-136 du 7 janvier 2016, consid. 1.3).</w:t>
      </w:r>
    </w:p>
    <w:p>
      <w:r>
        <w:t>Le recourant, qui revêt cette dernière qualité, est habilité à recourir contre l'acte attaqué.</w:t>
      </w:r>
    </w:p>
    <w:p>
      <w:r>
        <w:rPr>
          <w:b/>
        </w:rPr>
        <w:t>E. 1.4</w:t>
      </w:r>
    </w:p>
    <w:p>
      <w:r>
        <w:t>Le recours a été formé dans le délai de 30 jours prévu à l'art. 80k EIMP.</w:t>
      </w:r>
    </w:p>
    <w:p>
      <w:r>
        <w:rPr>
          <w:b/>
        </w:rPr>
        <w:t>E. 1.5</w:t>
      </w:r>
    </w:p>
    <w:p>
      <w:r>
        <w:t>Au vu de ce qui précède, il y a lieu d'entrer en matière.</w:t>
      </w:r>
    </w:p>
    <w:p>
      <w:r>
        <w:rPr>
          <w:b/>
        </w:rPr>
        <w:t>E. 2.1</w:t>
      </w:r>
    </w:p>
    <w:p>
      <w:r>
        <w:t>Dans un moyen unique, le recourant dénonce une violation du principe de la proportionnalité. Selon lui, la documentation bancaire dont la transmission a été ordonnée par le MPC ne présente aucun lien avec l'enquête grecque.</w:t>
      </w:r>
    </w:p>
    <w:p>
      <w:r>
        <w:rPr>
          <w:b/>
        </w:rPr>
        <w:t>E. 2.2</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 vrier 2010, consid. 4.1; ZIMMERMANN, La coopération judiciaire internationale en matière pénale, 4e édition 2014, n° 723). Le principe de la proportionnalité interdit certes à l’autorité suisse d’aller au-delà des requêtes qui lui sont adressées et d’accorder à l’Etat requérant plus qu’il n’a demandé. Cela n’em- pêche toutefois pas d’interpréter la demande selon le sens que l’on peut rai- sonnablement lui donner. Le cas échéant, une interprétation large est ad- missible s’il est établi que toutes les conditions à l’octroi de l’entraide sont</w:t>
      </w:r>
    </w:p>
    <w:p>
      <w:r>
        <w:t>- 5 -</w:t>
      </w:r>
    </w:p>
    <w:p>
      <w:r>
        <w:t>remplies; ce mode de procéder permet aussi d’éviter d’éventuelles de- mandes complémentaires (ATF 121 II 241 consid. 3a; arrêt du Tribunal pénal fédéral RR.2009.286-287 du 10 février 2010, consid. 4.1). Enfin, l’entraide vise non seulement à recueillir des preuves à charge, mais également à dé- charge (arrêt du Tribunal pénal fédéral RR.2008.287 du 9 avril 2009, con- sid. 2.2.4 et la jurisprudence citée).</w:t>
      </w:r>
    </w:p>
    <w:p>
      <w:r>
        <w:t>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RR.2015.300 du 7 juin 2016, consid. 3.2).</w:t>
      </w:r>
    </w:p>
    <w:p>
      <w:r>
        <w:rPr>
          <w:b/>
        </w:rPr>
        <w:t>E. 2.3.1</w:t>
      </w:r>
    </w:p>
    <w:p>
      <w:r>
        <w:t>Selon le MPC, E., une société sise à Singapour et détenue par A. a versé, en mars 2010, USD 150 mios sur un compte ouvert auprès de la banque B.. En septembre de la même année, USD 100 mios ont été transférés de ce dernier vers la relation objet de la décision entreprise. Par deux transactions effectuées respectivement en octobre et novembre 2010, le compte en ques- tion a été débité de USD 95 mios en faveur des comptes auprès de la banque C. mentionnés par l'autorité requérante. De plus, le Liechtenstein constituait la destination finale d'une partie des fonds ayant transité par le compte ban- caire litigieux (act. 1.2, p. 4 s.). Le recourant ne remet pas en question ces constatations.</w:t>
      </w:r>
    </w:p>
    <w:p>
      <w:r>
        <w:rPr>
          <w:b/>
        </w:rPr>
        <w:t>E. 2.3.2</w:t>
      </w:r>
    </w:p>
    <w:p>
      <w:r>
        <w:t>Il s'ensuit que, par le biais de la relation bancaire objet de la décision querel- lée, un montant de l'ordre de USD 100 mios a été versé d'un compte ouvert auprès de la banque B. – établissement bancaire victime du mécanisme liti- gieux investigué en Grèce et dont le recourant était un des dirigeants – vers les comptes auprès de la banque C. auxquels se réfèrent les demandes d'entraide. Il s'ensuit que la documentation litigieuse présente à tout le moins une utilité potentielle pour les autorités grecques, étant précisé que les agis- sements reprochés au recourant se sont déroulés entre décembre 2009 et décembre 2011. Cela vaut d'autant que le cheminement des fonds litigieux est propre à en rendre la traçabilité malaisée, qu'un bref laps de temps s'est écoulé entre les transactions précitées et que le recourant ne fournit aucune explication quant à la légitimité de leur arrière-plan économique.</w:t>
      </w:r>
    </w:p>
    <w:p>
      <w:r>
        <w:t>- 6 -</w:t>
      </w:r>
    </w:p>
    <w:p>
      <w:r>
        <w:t>L'argumentation développée par l'intéressé ne change rien à ce qui précède. Celui-ci perd de vue que l'entraide tend à favoriser notamment la découverte de faits, d'informations et de moyens de preuve, dont l'autorité de poursuite étrangère n'a pas connaissance (cf. supra consid. 2.2) lorsqu'il affirme que l'Etat requérant n'a pas d'intérêt à l'obtention de la documentation litigieuse, dès lors qu'il n'en a jamais expressément requis la transmission – alors même qu'il connaissait l'existence du compte bancaire litigieux, respective- ment des transactions précitées (supra, consid. 2.3.1) effectuées de sep- tembre à novembre 2010, grâce à l'analyse de la documentation transmise précédemment. Cela vaut également pour l'objection du recourant selon la- quelle la documentation litigieuse n'est pas propre à confirmer les soupçons de l'autorité requérante; en outre, celle-ci méconnaît que l'entraide tend éga- lement à l'obtention de preuves à décharge (cf. supra, consid. 2.2). Quant aux autres arguments avancés par le recourant, ils ne sont pas mieux fondés. Ainsi, le recourant reproche en vain au MPC – de manière toute gé- nérale – de ne pas avoir procédé à un tri des documents à transmettre. Il n'y a effectivement pas lieu de se pencher plus avant sur cette question, dès lors que le détenteur des papiers est tenu de coopérer au tri (ZIMMERMANN, op. cit., n° 724) et qu'il ne ressort pas des pièces figurant au dossier que le recourant aurait satisfait à cette incombance – quand bien même le MPC lui en a donné l'occasion (cf. act. 1.2, p. 3, pt. 5). Par ailleurs, faute pour l'auto- rité requérante d'avoir retiré les demandes d'entraide, les autorités suisses sont tenues d'y donner suite, en dépit de l'assertion du recourant selon la- quelle le procès mené en Grèce serait à présent terminé.</w:t>
      </w:r>
    </w:p>
    <w:p>
      <w:r>
        <w:rPr>
          <w:b/>
        </w:rPr>
        <w:t>E. 3</w:t>
      </w:r>
    </w:p>
    <w:p>
      <w:r>
        <w:t>Au vu de ce qui précède, le recours est mal fondé.</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 courant supportera ainsi les frais du présent arrêt, fixés à fr. 5'000.-- (art. 73 al. 2 LOAP et art. 8 al. 3 du règlement du Tribunal pénal fédéral sur les frais, émoluments, dépens, et indemnités de la procédure pénale fédérale du 31 août 2010 [RFPPF; RS 173.713.162] et art. 63 al. 5 PA), entièrement cou- verts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