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RR.2017.334 vom 9. März 2018</w:t>
      </w:r>
    </w:p>
    <w:p>
      <w:r>
        <w:t>Bundesstrafgericht, 2018-03-09, FR</w:t>
      </w:r>
    </w:p>
    <w:p>
      <w:r>
        <w:rPr>
          <w:b/>
        </w:rPr>
        <w:t xml:space="preserve">Quelle: </w:t>
      </w:r>
      <w:r>
        <w:t>https://mcp.opencaselaw.ch/entscheid/bstger_RR.2017.334</w:t>
      </w:r>
    </w:p>
    <w:p>
      <w:r>
        <w:t>FR: TPF RR.2017.334 du 9 mars 2018</w:t>
      </w:r>
    </w:p>
    <w:p>
      <w:r>
        <w:t>IT: TPF RR.2017.334 del 9 marzo 2018</w:t>
      </w:r>
    </w:p>
    <w:p>
      <w:pPr>
        <w:pStyle w:val="Heading2"/>
      </w:pPr>
      <w:r>
        <w:t>Regeste</w:t>
      </w:r>
    </w:p>
    <w:p>
      <w:r>
        <w:t>Entraide judiciaire internationale en matière pénale à la Norvège. Remise de moyens de preuve (art. 74 EIMP).</w:t>
      </w:r>
    </w:p>
    <w:p>
      <w:pPr>
        <w:pStyle w:val="Heading2"/>
      </w:pPr>
      <w:r>
        <w:t>Erwägungen</w:t>
      </w:r>
    </w:p>
    <w:p>
      <w:r>
        <w:rPr>
          <w:b/>
        </w:rPr>
        <w:t>E. 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et 19 al. 1 du règlement sur l’organisation du Tribunal pénal fédéral (RS 173.713.161), la Cour des plaintes du Tribunal pénal fédéral est compétente pour connaître des recours dirigés contre les ordonnances de clôture de la procédure d’entraide rendues par l’autorité fédérale ou cantonale d’exécution.</w:t>
      </w:r>
    </w:p>
    <w:p>
      <w:r>
        <w:rPr>
          <w:b/>
        </w:rPr>
        <w:t>E. 1.1</w:t>
      </w:r>
    </w:p>
    <w:p>
      <w:r>
        <w:t>La Confédération suisse et le Royaume de Norvège sont tous deux parties à la Convention européenne d’entraide judiciaire en matière pénale (CEEJ; RS 0.351.1) entrée en vigueur le 12 juin 1962 pour la Norvège et le 20 mars 1967 pour la 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Les dispositions de ces traités l’emportent sur le droit autonome qui régit la matière, soit l'EIMP et son ordonnance d’exécution (OEIMP; RS 351.11). Le droit interne reste toutefois applicable aux questions non réglées, explicitement ou implicitement, par le traité lorsqu’il est plus favorable à l’entraide (ATF 142 IV 250 consid. 3; 140 IV 123</w:t>
      </w:r>
    </w:p>
    <w:p>
      <w:r>
        <w:t>- 4 -</w:t>
      </w:r>
    </w:p>
    <w:p>
      <w:r>
        <w:t>consid. 2; 137 IV 33 consid. 2.2.2; 136 IV 82 consid. 3.1). L’application de la norme la plus favorable doit avoir lieu dans le respect des droits fondamentaux (ATF 135 IV 212 consid. 2.3; 123 II 595 consid. 7c).</w:t>
      </w:r>
    </w:p>
    <w:p>
      <w:r>
        <w:rPr>
          <w:b/>
        </w:rPr>
        <w:t>E. 1.2</w:t>
      </w:r>
    </w:p>
    <w:p>
      <w:r>
        <w:t>Le délai de recours contre la décision de clôture est de 30 jours dès la communication écrite de celle-ci (art. 80k EIMP). Ledit délai a en l'espèce été respecté.</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w:t>
      </w:r>
    </w:p>
    <w:p>
      <w:r>
        <w:t>En tant que titulaire des relations bancaires visées par la décision querellée, la recourante a qualité pour attaquer celle-ci.</w:t>
      </w:r>
    </w:p>
    <w:p>
      <w:r>
        <w:rPr>
          <w:b/>
        </w:rPr>
        <w:t>E. 1.4</w:t>
      </w:r>
    </w:p>
    <w:p>
      <w:r>
        <w:t>Compte tenu de ce qui précède, il convient d’entrer en matière sur le fond.</w:t>
      </w:r>
    </w:p>
    <w:p>
      <w:r>
        <w:rPr>
          <w:b/>
        </w:rPr>
        <w:t>E. 2.1</w:t>
      </w:r>
    </w:p>
    <w:p>
      <w:r>
        <w:t>Dans un grief qu’il convient de traiter en premier lieu compte tenu de sa nature formelle, la recourante dénonce une violation de son droit d’être entendue. La décision attaquée ne serait pas motivée et renverrait aux mauvaises bases légales en ce qui concerne la condition de la double incrimination (act. 1, p. 10 ss); la motivation ferait également défaut quant à l’étendue des documents à transmettre (act. 1, p. 13 s.).</w:t>
      </w:r>
    </w:p>
    <w:p>
      <w:r>
        <w:rPr>
          <w:b/>
        </w:rPr>
        <w:t>E. 2.2</w:t>
      </w:r>
    </w:p>
    <w:p>
      <w:r>
        <w:t>L’art. 29 al. 2 Cst. consacre le droit d’être entendu, lequel découle également du droit à un procès équitable (art. 6 par. 1 de la Convention de sauvegarde des droits de l’homme et des libertés fondamentales [CEDH; RS 0.101]). La jurisprudence a tiré du droit d’être entendu, l’obligation pour l’autorité de motiver ses décisions.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134 I 84 consid. 4.1 et références citées). L’objet et la précision des indications à fournir dépendent de la nature de l’affaire ainsi que des circonstances particulières du cas. L’autorité n’est pas tenue de discuter de manière détaillée tous les faits, moyens de preuve et</w:t>
      </w:r>
    </w:p>
    <w:p>
      <w:r>
        <w:t>- 5 -</w:t>
      </w:r>
    </w:p>
    <w:p>
      <w:r>
        <w:t>griefs soulevés par les parties (ATF 134 I 83 consid. 4.1; ATF 125 II 369 consid. 2c; ATF 124 II 146 consid. 2a; ATF 112 Ia 107 consid. 2b; arrêt du Tribunal pénal fédéral RR.2017.42-43-44-45-46 du 22 août 2017 consid. 3.1), mais se limiter à l’examen des questions décisives pour l’issue du litige (ATF 134 I 83 consid. 4.1; ATF 126 I 15 consid. 2a/aa; ATF 124 V 180 consid. 1a et références citées). La motivation peut être implicite et résulter de la décision prise dans son ensemble (arrêt du Tribunal fédéral 1B_120/2014 du 20 juin 2014 consid. 2). Le droit d’être entendu comporte également le droit des parties de s’expliquer avant qu’une décision ne soit prise à leur détriment (ATF 135 II 286 consid. 5.1 et références citées; ATF 129 II 497 consid. 2.2; ATF 129 I 85 consid. 4.1).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2.3.1</w:t>
      </w:r>
    </w:p>
    <w:p>
      <w:r>
        <w:t>Selon la recourante, la motivation relative à la condition de la double incrimination contenue dans la décision d’entrée en matière du 31 mars 2016 – à laquelle renvoie la décision attaquée – serait insuffisante; de plus, elle se réfèrerait aux mauvaises bases légales. Une telle critique n’est pas recevable dès lors qu’elle aurait dû intervenir dans le cadre de la procédure précédente (RR.2016.218-229), laquelle était dirigée contre la même ordonnance d’entrée en matière. A cette occasion, la recourante avait invoqué une violation de son droit d’être entendue s’agissant de la participation au tri des pièces et d’une transmission tardive de la documentation bancaire. A défaut d’avoir allégué un défaut de motivation concernant la condition de la double incrimination, il y a lieu de considérer qu’elle l’avait tenue pour suffisante. Il n’est au demeurant pas pertinent que l’autorité de céans ait estimé que les conditions de l’infraction de corruption passive privée étaient réalisées alors que l’autorité d’exécution a analysé les faits sous l’angle de la corruption publique dans son ordonnance d’entrée en matière. Dans les deux cas, il s’agit d’infractions ouvrant la voie à l’entraide. Le grief tiré de la violation du droit d’être entendu sur ce point doit par conséquent être rejeté.</w:t>
      </w:r>
    </w:p>
    <w:p>
      <w:r>
        <w:rPr>
          <w:b/>
        </w:rPr>
        <w:t>E. 2.3.2</w:t>
      </w:r>
    </w:p>
    <w:p>
      <w:r>
        <w:t>Concernant ensuite la motivation relative à l’étendue des documents à transmettre, le MPC indique notamment que, «suite au tri effectué par les autorités norvégiennes les 21 et 22 avril 2016, il apparaît que la documentation bancaire concernant cette relation est pertinente pour la procédure pénale ouverte en Norvège» (act. 1.1, p. 4). Il avait préalablement rappelé dans les faits qu’au terme du tri de la documentation bancaire effectué par les autorités requérantes, celles-ci sollicitaient dans un premier</w:t>
      </w:r>
    </w:p>
    <w:p>
      <w:r>
        <w:t>- 6 -</w:t>
      </w:r>
    </w:p>
    <w:p>
      <w:r>
        <w:t>temps la transmission de la documentation concernant toutes les relations contrôlées par C. (act. 1.1, p. 2). Les documents bancaires objets de la décision querellée entrent manifestement dans cette catégorie, de sorte que le MPC les a estimés pertinents pour l’enquête norvégienne. Par conséquent, bien que succincte, la motivation de l’autorité précédente est suffisante sous l’angle du droit d’être entendu. Elle a permis à la recourante d’apprécier correctement la portée de la décision et l’attaquer à bon escient. Mal fondé, ce grief doit également être rejeté sur ce point.</w:t>
      </w:r>
    </w:p>
    <w:p>
      <w:r>
        <w:rPr>
          <w:b/>
        </w:rPr>
        <w:t>E. 3</w:t>
      </w:r>
    </w:p>
    <w:p>
      <w:r>
        <w:t>La recourante estime que la condition de la double incrimination n’est pas réalisée. Selon elle, seules les sociétés B. ASA et F. ASA seraient prévenues dans la procédure pénale norvégienne, de sorte qu’il conviendrait d’analyser si les actes de corruption reprochés à ces deux sociétés sont également réprimés en Suisse sous l’angle de l’art. 102 CP (act. 1, p. 16 ss).</w:t>
      </w:r>
    </w:p>
    <w:p>
      <w:r>
        <w:rPr>
          <w:b/>
        </w:rPr>
        <w:t>E. 3.1</w:t>
      </w:r>
    </w:p>
    <w:p>
      <w:r>
        <w:t>La condition de la double incrimination est satisfaite lorsque l’état de faits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w:t>
      </w:r>
    </w:p>
    <w:p>
      <w:r>
        <w:t>- 7 -</w:t>
      </w:r>
    </w:p>
    <w:p>
      <w:r>
        <w:t>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 cf. ég. ZIMMERMANN, La coopération judiciaire internationale en matière pénale, 4e éd. 2014, n°581, p. 584 s.).</w:t>
      </w:r>
    </w:p>
    <w:p>
      <w:r>
        <w:rPr>
          <w:b/>
        </w:rPr>
        <w:t>E. 3.2</w:t>
      </w:r>
    </w:p>
    <w:p>
      <w:r>
        <w:t>La Cour de céans s’est également déjà déterminée concernant la condition de la double incrimination relative à la même commission rogatoire dans l’arrêt précité du 24 mai 2017 (RR.2016.218-229 consid. 4.2), entré en force. Elle a ainsi considéré que «le comportement des personnes soupçonnées au Brésil, en qualité d’employés de l’entreprise D., consistant en l’acceptation d’avantages indus pour l’exécution d’actes en relation avec leur activité professionnelle ou commerciale et qui étaient contraires à leurs devoirs en tant qu’employés, réalise à première vue les conditions objectives de l’infraction de corruption passive privée, au sens de l’art. 4a al. 1 let. a LCD mis en relation avec l’art. 23 LCD (…) Un tel constat suffit pour conclure que la condition de la double incrimination est dûment remplie dans le cas d’espèce». La question ayant déjà été traitée, elle n’a pas à être réexaminée. A toutes fins utiles, l’on relève que contrairement aux affirmations de la recourante, les sociétés B. ASA ne sont pas les seules à être prévenues dans la procédure norvégienne. Sont également mises en causes les personnes physiques G., H., I. et J. (act. 8.3, p. 2). L’examen de la punissabilité de l’entreprise au regard de l’art. 102 CP n’est dès lors pas pertinent et le grief tiré de la violation du principe de la double incrimination doit être rejeté.</w:t>
      </w:r>
    </w:p>
    <w:p>
      <w:r>
        <w:rPr>
          <w:b/>
        </w:rPr>
        <w:t>E. 4</w:t>
      </w:r>
    </w:p>
    <w:p>
      <w:r>
        <w:t>La recourante invoque encore une violation du principe de la proportionnalité. De nombreux documents bancaires ont déjà été produits dans le cadre de ce dossier aux autorités norvégiennes, lesquelles n’auraient pas requis de précisions ou de compléments (act. 1, p. 15). Partant, une transmission supplémentaire contreviendrait au principe de la proportionnalité.</w:t>
      </w:r>
    </w:p>
    <w:p>
      <w:r>
        <w:rPr>
          <w:b/>
        </w:rPr>
        <w:t>E. 4.1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w:t>
      </w:r>
    </w:p>
    <w:p>
      <w:r>
        <w:t>- 8 -</w:t>
      </w:r>
    </w:p>
    <w:p>
      <w:r>
        <w:t>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4.2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w:t>
      </w:r>
    </w:p>
    <w:p>
      <w:r>
        <w:t>- 9 -</w:t>
      </w:r>
    </w:p>
    <w:p>
      <w:r>
        <w:t>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4.3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4.4</w:t>
      </w:r>
    </w:p>
    <w:p>
      <w:r>
        <w:t>En l’espèce, la décision de clôture partielle s’inscrit dans le cadre de la demande d’entraide des autorités norvégiennes du 18 février 2016. Dans son ordonnance d’entrée en matière, le MPC a autorisé les représentants du Parquet d’Økokrim à consulter les dossiers du MPC ouverts dans le complexe de faits D., notamment relatifs à l’instruction pénale SV.15.0768</w:t>
      </w:r>
    </w:p>
    <w:p>
      <w:r>
        <w:t>- 10 -</w:t>
      </w:r>
    </w:p>
    <w:p>
      <w:r>
        <w:t>(act. 1.1, p. 3). Dans le cadre de cette procédure nationale ouverte contre C., le MPC a identifié puis édité les relations bancaires objets de la présente décision au nom de la recourante, laquelle a reçu USD 14 mio de B. ASA pour les re-transférer sur les comptes de C. en Suisse. Ces informations présentent manifestement un rapport suffisant avec l’enquête pénale étrangère, justifiant leur transmission aux autorités norvégiennes conformément à la jurisprudence précitée (supra, consid. 4.3). Partant, le principe de la proportionnalité n’est pas violé et ce grief doit également être rejeté.</w:t>
      </w:r>
    </w:p>
    <w:p>
      <w:r>
        <w:t>5. 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fixée à CHF 5'000.-- (art. 73 al. 2 LOAP et art. 8 al. 3 du règlement du Tribunal pénal fédéral sur les frais, émoluments, dépens, et indemnités de la procédure pénale fédérale du 31 août 2010 [RFPPF; RS 173.713.162] et art. 63 al. 5 PA), couverts par l’avance de frais déjà versée.</w:t>
      </w:r>
    </w:p>
    <w:p>
      <w:r>
        <w:t>- 11 -</w:t>
      </w:r>
    </w:p>
    <w:p>
      <w:r>
        <w:rPr>
          <w:b/>
        </w:rPr>
        <w:t>E. 9</w:t>
      </w:r>
    </w:p>
    <w:p>
      <w:r>
        <w:t>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