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RR.2017.333 vom 19. April 2018</w:t>
      </w:r>
    </w:p>
    <w:p>
      <w:r>
        <w:t>Bundesstrafgericht, 2018-04-19, FR</w:t>
      </w:r>
    </w:p>
    <w:p>
      <w:r>
        <w:rPr>
          <w:b/>
        </w:rPr>
        <w:t xml:space="preserve">Quelle: </w:t>
      </w:r>
      <w:r>
        <w:t>https://mcp.opencaselaw.ch/entscheid/bstger_RR.2017.333</w:t>
      </w:r>
    </w:p>
    <w:p>
      <w:r>
        <w:t>FR: TPF RR.2017.333 du 19 avril 2018</w:t>
      </w:r>
    </w:p>
    <w:p>
      <w:r>
        <w:t>IT: TPF RR.2017.333 del 19 aprile 2018</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L’EIMP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 la relation bancaire visée par la décision querellée, la recourante a en principe qualité pour attaquer celle-ci.</w:t>
      </w:r>
    </w:p>
    <w:p>
      <w:r>
        <w:rPr>
          <w:b/>
        </w:rPr>
        <w:t>E. 1.6.1</w:t>
      </w:r>
    </w:p>
    <w:p>
      <w:r>
        <w:t>Cela étant, lorsque – comme en l’espèce – les informations dont la remise est envisagée proviennent d’une procédure interne et sont, dès lors, déjà en mains de l’autorité d’exécution (cf. supra let. A. et C.), il y a en principe lieu d’admettre que l’administré n’est touché que de manière indirecte, de sorte qu’il n’est pas légitimé à recourir (cf. notamment arrêt du Tribunal pénal fédéral RR.2014.106-109 du 3 novembre 2014, consid. 1.5, et les références citées).</w:t>
      </w:r>
    </w:p>
    <w:p>
      <w:r>
        <w:t>- 4 -</w:t>
      </w:r>
    </w:p>
    <w:p>
      <w:r>
        <w:rPr>
          <w:b/>
        </w:rPr>
        <w:t>E. 1.6.2</w:t>
      </w:r>
    </w:p>
    <w:p>
      <w:r>
        <w:t>Ce principe a été tempéré par la jurisprudence, notamment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TPF 2007 79 consid. 1.6.1 et 1.6.3).</w:t>
      </w:r>
    </w:p>
    <w:p>
      <w:r>
        <w:t>Cette hypothèse est manifestement réalisée en l’espèce (cf. supra let. A.), de sorte que la qualité pour agir de la recourante doit être admise.</w:t>
      </w:r>
    </w:p>
    <w:p>
      <w:r>
        <w:rPr>
          <w:b/>
        </w:rPr>
        <w:t>E. 1.7</w:t>
      </w:r>
    </w:p>
    <w:p>
      <w:r>
        <w:t>Compte tenu de ce qui précède, il convient d’entrer en matière sur le fond.</w:t>
      </w:r>
    </w:p>
    <w:p>
      <w:r>
        <w:rPr>
          <w:b/>
        </w:rPr>
        <w:t>E. 2</w:t>
      </w:r>
    </w:p>
    <w:p>
      <w:r>
        <w:t>La recourante se plaint d'une violation des principes de la double incrimination et de la proportionnalité. Il ne ressortirait pas de la demande d'entraide qu'elle a commis des actes tombant sous le coup du droit pénal suisse et l'autorité requérante n'exposerait pas quels liens existent entre elle- même et les actes de piratage suspectés, respectivement la vente des informations en résultant.</w:t>
      </w:r>
    </w:p>
    <w:p>
      <w:r>
        <w:rPr>
          <w:b/>
        </w:rPr>
        <w:t>E. 3</w:t>
      </w:r>
    </w:p>
    <w:p>
      <w:r>
        <w:t>La condition de la double incrimination est satisfaite lorsque l’état de faits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(cf. art. 64 al. 1 EIMP cum art. 5 ch. 1 let. a CEEJ; ATF 124 II 184 consid. 4b; 122 II 422 consid. 2a; 118 Ib 448 consid. 3a; 117 Ib 337 consid. 4a). Le juge de l’entraide se fonde sur l’exposé des faits contenu dans la requête. L’autorité suisse saisie d’une requête n’a pas à se prononcer sur la réalité des faits. Elle ne s’écarte des faits décrits par l’autorité requérante qu’en cas d’erreurs, lacunes ou contradictions évidentes et immédiatement établies (ATF 107 Ib 264 consid. 3a; 1A.270/2006 du 13 mars 2007 consid. 2.1; arrêt du Tribunal pénal fédéral RR.2008.69 du 14 août 2008 consid. 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w:t>
      </w:r>
    </w:p>
    <w:p>
      <w:r>
        <w:t>- 5 -</w:t>
      </w:r>
    </w:p>
    <w:p>
      <w:r>
        <w:t>prévaut en matière d’extradition, il n’est pas nécessaire, en matière de «petite entraide», que la condition de la double incrimination soit réalisée pour chacun des chefs à raison desquels les prévenus sont poursuivis dans l’Etat requérant (ATF 125 II 569 consid. 6; arrêts du Tribunal fédéral 1C_138/2007 du 17 juillet 2007 consid. 2.3.2; 1A.212/2001 du 21 mars 2002 consid. 7).</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w:t>
      </w:r>
    </w:p>
    <w:p>
      <w:r>
        <w:t>- 6 -</w:t>
      </w:r>
    </w:p>
    <w:p>
      <w:r>
        <w:t>les rouages du mécanisme délictueux poursuivi dans l’Etat requérant (arrêts du Tribunal pénal fédéral RR.2010.173 du 13 octobre 2010 consid. 4.2.4/a et RR.2009.320 du 2 février 2010 consid. 4.1; ZIMMERMANN, La coopération judiciaire internationale en matière pénale, 4e éd. 2014, n°723, p. 748 s.).</w:t>
      </w:r>
    </w:p>
    <w:p>
      <w:r>
        <w:rPr>
          <w:b/>
        </w:rPr>
        <w:t>E. 4.2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4.3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w:t>
      </w:r>
    </w:p>
    <w:p>
      <w:r>
        <w:t>- 7 -</w:t>
      </w:r>
    </w:p>
    <w:p>
      <w:r>
        <w:t>complète (ATF 118 Ib 547 consid. 3a; arrêt du Tribunal fédéral 1A.88/2006 du 22 juin 2006 consid. 5.3; arrêt du Tribunal pénal fédéral RR.2008.287 du</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5.</w:t>
      </w:r>
    </w:p>
    <w:p>
      <w:r>
        <w:t>5.1 Il ressort de la demande d'entraide que les autorités de poursuite pénale américaines mènent une enquête contre deux citoyens ukrainiens soupçonnés d'avoir dérobé des données informatiques, sous la forme de communiqués alors confidentiels, auprès d'agences de presse. Les intéressés auraient vendu ces informations à plusieurs négociants en valeurs mobilières – également visés par les investigations ouvertes dans l'Etat requérant – qui auraient obtenu des avantages indus en les utilisant pour effectuer diverses transactions. Une analyse de comptes bancaires aurait révélé l'existence de liens entre lesdits négociants et un dénommé C., soit l'ayant droit économique du compte dont la transmission de la documentation a été ordonnée dans l'acte entrepris. C. est aussi visé par l'enquête (cf. act. 11.1, en particulier p. 4, et 10 ss).</w:t>
      </w:r>
    </w:p>
    <w:p>
      <w:r>
        <w:t>5.2 La manière dont les informations en question ont été obtenues, respectivement l'utilisation qui en a été faite, est a priori constitutive d'exploitation d'informations d'initiés (art. 154 de la loi du 19 juin 2015 sur l'infrastructure des marchés financiers [LIMF, RS 958.1]), de soustraction de données (art. 143 CP), subsidiairement d'accès indu à un système informatique (art. 143bis CP) – ce qui n'est au demeurant pas contesté. Dans ces conditions, la décision entreprise respecte le principe de double incrimination, étant précisé que la recourante n'établit pas l'existence d’erreurs, lacunes ou contradictions évidentes justifiant qu'on s'écarte de l'état de fait décrit par l'autorité requérante. Le fait que ni le comportement adopté par la recourante ni celui reproché à C., tel que ceux-ci ressortent de la demande d'entraide, ne puissent à ce stade être a priori considérés comme constitutifs d'une infraction en droit suisse n'y change rien, quoi qu'en pense la recourante; en effet, comme on l'a vu (supra consid. 4.2), l’octroi de l’entraide n’implique pas que la personne soumise à une mesure de contrainte dans l’Etat requis soit elle-même accusée dans l’Etat requérant.</w:t>
      </w:r>
    </w:p>
    <w:p>
      <w:r>
        <w:t>5.3 Aux termes de la demande d'entraide, "[u]ne analyse des modèles de négoce des comptes liés à C. […] a mis à jour des négociations de concert</w:t>
      </w:r>
    </w:p>
    <w:p>
      <w:r>
        <w:t>- 8 -</w:t>
      </w:r>
    </w:p>
    <w:p>
      <w:r>
        <w:t>avec les négociants accusés du crime" (act. 11.1, p. 4). La documentation bancaire litigieuse – expressément mentionnée dans ce document (ibidem) – présente donc, incontestablement, une utilité potentielle pour l'enquête américaine. La recourante – qui ne conteste pas que le précité est l'ayant droit économique du compte bancaire en cause – objecte vainement que ce fait ne permet pas d'établir l'existence d'un lien de connexité entre les faits poursuivis aux Etats-Unis et les documents objet de la décision entreprise. En effet, ce sont précisément les informations contenues dans ces derniers qui permettront aux autorités de poursuite pénale de l'Etat requérant de déterminer si les négociations auxquelles fait référence la demande se rapportent ou non au mécanisme litigieux investigué.</w:t>
      </w:r>
    </w:p>
    <w:p>
      <w:r>
        <w:t>5.4 Les griefs soulevés sont donc mal fondés.</w:t>
      </w:r>
    </w:p>
    <w:p>
      <w:r>
        <w:t>6. Il suit de ce qui précède que le recours est mal fondé.</w:t>
      </w:r>
    </w:p>
    <w:p>
      <w:r>
        <w:t>7.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lesquels sont fixés à CHF 5'000.-- en application des art. 73 al. 2 LOAP, 8 al. 3 du règlement du Tribunal pénal fédéral sur les frais, émoluments, dépens, et indemnités de la procédure pénale fédérale du 31 août 2010 (RFPPF; RS 173.713.162) et 63 al. 5 PA – montant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