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RR.2017.332 vom 8. Mai 2018</w:t>
      </w:r>
    </w:p>
    <w:p>
      <w:r>
        <w:t>Bundesstrafgericht, 2018-05-08, DE</w:t>
      </w:r>
    </w:p>
    <w:p>
      <w:r>
        <w:rPr>
          <w:b/>
        </w:rPr>
        <w:t xml:space="preserve">Quelle: </w:t>
      </w:r>
      <w:r>
        <w:t>https://mcp.opencaselaw.ch/entscheid/bstger_RR.2017.332</w:t>
      </w:r>
    </w:p>
    <w:p>
      <w:r>
        <w:t>FR: TPF RR.2017.332 du 8 mai 2018</w:t>
      </w:r>
    </w:p>
    <w:p>
      <w:r>
        <w:t>IT: TPF RR.2017.332 del 8 maggio 2018</w:t>
      </w:r>
    </w:p>
    <w:p>
      <w:pPr>
        <w:pStyle w:val="Heading2"/>
      </w:pPr>
      <w:r>
        <w:t>Regeste</w:t>
      </w:r>
    </w:p>
    <w:p>
      <w:r>
        <w:t>Internationale Rechtshilfe in Strafsachen an Deutschland. Auslieferungsentscheid (Art. 55 IRSG). Nachtragsersuchen.</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dem beide Staaten beigetreten sind, das Zweite Zusatzprotokoll vom 8. November 2001 zum Europäischen Übereinkommen über die Rechtshilfe in Strafsachen (SR 0.351.12; Zweites Zusatzprotokoll) und der Vertrag vom 13. November 1969 zwischen der Schweizerischen Eid- genossenschaft und der Bundesrepublik Deutschland über die Ergänzung des Europäischen Übereinkommens über die Rechtshilfe in Strafsachen vom 20. April 1959 und die Erleichterung seiner Anwendung (SR 0.351.913.61; Zusatzvertrag). Überdies gelangen die Bestimmungen der Art. 48 ff. des Übereinkommens vom 19. Juni 1990 zur Durchführung des Übereinkommens von Schengen vom 14. Juni 1985 (Schengener Durchfüh- rungsübereinkommen, SDÜ; ABl. L. 239 vom 22. September 2000, S. 19-62) zur Anwendung, wobei die zwischen den Vertragsparteien geltenden weiter- gehenden Bestimmungen aufgrund bilateraler Abkommen unberührt bleiben (Art. 48 Abs. 2 SDÜ; Art. 26 Absätze 2 und 3 EUeR; ZIMMERMANN, La coopération judiciaire internationale en matière pénale, 4. Aufl. 2014, N. 18- 21,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t>- 4 -</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16. Oktober 2017 ist der Beschwerdefüh- rerin am 30. November 2017 zugestellt worden (act. 5.1.2.), womit die Be- schwerde vom 5. Dezember 2017 (Übergabe an die Schweizer Post am 13. Dezember 2017) fristgerecht innerhalb der 30-tägigen Beschwerdefrist erhoben worden ist. Die Beschwerdeführerin ist als Adressatin des Ausliefe- rungsentscheides ohne Weiteres zu dessen Anfechtung legitimiert. Die übri- gen Eintretensvoraussetzungen geben zu keinen Bemerkungen Anlass. Auf die Beschwerde ist einzutreten.</w:t>
      </w:r>
    </w:p>
    <w:p>
      <w:r>
        <w:rPr>
          <w:b/>
        </w:rPr>
        <w:t>E. 3.1</w:t>
      </w:r>
    </w:p>
    <w:p>
      <w:r>
        <w:t>Die Beschwerdeführerin wendet sich gegen den Widerruf einer in Deutsch- land ausgesprochenen Freiheitsstrafe. Die Bewährungsfrist sei zunächst verlängert worden. Der Widerruf wiederum sei erst fast 2 Jahre nach Ablauf der (verlängerten) Bewährungsfrist erfolgt. Widerrufen worden sei erst nach der Verurteilung in dessen Auslieferung sie nur unter Beachtung des Spezi- alitätsprinzips eingewilligt habe. Ein solcher Widerruf sei nicht zulässig und sie habe dagegen in Deutschland auch Verfassungsbeschwerde erheben lassen. Mit der Berufung auf das Spezialitätsprinzip, welches einem Straf- vollzug in Deutschland entgegenstehe, bringt die Beschwerdeführerin weiter vor, seit 2015 ihren Lebensmittelpunkt in Winterthur zu haben, wo sie mit ihrem Mann und ihrer behinderten Tochter lebe. Sie habe ihre Umgebung geändert, um ein straffreies Leben zu führen und sich ihrer Tochter zu wid- men. Die Beschwerdeführerin beantragt daher sinngemäss die Aufhebung des Auslieferungsentscheides (act. 1, 10).</w:t>
      </w:r>
    </w:p>
    <w:p>
      <w:r>
        <w:rPr>
          <w:b/>
        </w:rPr>
        <w:t>E. 3.2</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(Art. 2 Ziff. 1 EAUe; Art. 35 Abs. 1 IRSG).</w:t>
      </w:r>
    </w:p>
    <w:p>
      <w:r>
        <w:t>- 5 -</w:t>
      </w:r>
    </w:p>
    <w:p>
      <w:r>
        <w:t>Ist im Hoheitsgebiet des ersuchenden Staates eine Verurteilung zu einer Strafe erfolgt, so muss deren Mass nach Art. 2 Ziff. 1 EAUe mindestens vier Monate betragen. Nach Art. II des Zusatzvertrages ist eine Auslieferung auch zu gewähren, wenn das Mass einer noch zu vollstreckenden Strafe oder bei mehreren noch zu vollstreckenden Strafen deren Summe mindes- tens drei Monate beträgt. Für die Beurteilung der Strafbarkeit nach schweizerischem Recht ist der im Auslieferungsersuchen dargelegte Sachverhalt so zu würdigen, wie wenn die Schweiz wegen eines entsprechenden Sachverhalts ein Strafverfahren eingeleitet hätte (BGE 132 II 81 E. 2.7.2). Es gilt der Grundsatz der abstrak- ten beidseitigen Strafbarkeit (BGE 136 IV 179 E. 2.3.4). Bei der Beurteilung der Strafbarkeit nach schweizerischem Recht beschränkt sich das Rechts- hilfegericht auf eine Prüfung "prima facie" (BGE 142 IV 175 E. 5.5; 142 IV 250 E. 5.2; 139 IV 137 E. 5.1; 128 II 355 E. 2.1; 126 II 409 E. 6c/cc; 124 II 184 E. 4b/cc; Urteil 1C_205/2007 vom 18. Dezember 2007 E. 4.2, nicht publ. in BGE 134 IV 156; TPF 2012 114 E. 7.4; ZIMMERMANN, a.a.O., N. 576 ff.).</w:t>
      </w:r>
    </w:p>
    <w:p>
      <w:r>
        <w:rPr>
          <w:b/>
        </w:rPr>
        <w:t>E. 3.3</w:t>
      </w:r>
    </w:p>
    <w:p>
      <w:r>
        <w:t>Das Nachtragsersuchen beruht auf dem Urteil des Schöffengerichts beim Amtsgericht Nürnberg vom 16. Dezember 2009. Dieses schildert ausführlich: wie die Beschwerdeführerin zur Rückzahlung eines Darlehens bestimmtes Geld für sich verwendete und diese Verwendung in der Folge vertuschte; wie sie ihren Arbeitgeber B. GmbH in Ausnutzung ihrer Funktion durch Schaf- fung von fiktiven Anstellungsverhältnissen schädigte und sich von der Kasse für Vorschüsse Bargelder auszahlen liess, welche sie jedoch nicht weiterlei- tete; wie sie namens ihres Arbeitgebers Personal an eine Firma vermittelte, bei welcher sie Geschäftsführerin war, ohne dies offen zu legen und ohne alsdann die Rechnungen ihres Arbeitgebers zu bezahlen. Damit führte die Beschwerdeführerin – in der Absicht, sich unrechtmässig zu bereichern – mittels Vorspiegelns oder Unterdrückens von Tatsachen andere in die Irre und bestimmte sie zu einem Verhalten, das einen Vermögensschaden be- wirkte. Dies würde prima facie den Tatbestand des Betruges (Art. 146 Ziff. 1 StGB, Freiheitsstrafe bis zu fünf Jahren oder Geldstrafe) erfüllen. Die beidseitige Strafbarkeit des im Rechtshilfeersuchen geschilderten Sach- verhaltes auch in der Schweiz ist somit gegeben. Ersucht wird um Ausliefe- rung für die Vollstreckung von Gesamtfreiheitsstrafen von zwei mal einem Jahr und drei Monaten (also von zwei Jahren und sechs Monaten), abzüglich von 13 Tagen, die durch gemeinnützige Arbeit bereits erstanden wurden (vgl. act. 8.2 Beschluss des Amtsgerichts Nürnberg vom 6. Oktober 2016). Damit liegt eine auslieferungsfähige Straftat im Sinne des EAUe vor.</w:t>
      </w:r>
    </w:p>
    <w:p>
      <w:r>
        <w:t>- 6 -</w:t>
      </w:r>
    </w:p>
    <w:p>
      <w:r>
        <w:rPr>
          <w:b/>
        </w:rPr>
        <w:t>E. 3.4</w:t>
      </w:r>
    </w:p>
    <w:p>
      <w:r>
        <w:t>Die Beschwerdeführerin hat richtigerweise den Rechtsweg Deutschlands für die Prüfung ihrer Rügen gegen den Widerruf der Bewährungsfrist einge- schlagen. Das Auslieferungsverfahren dient nicht der Nachprüfung eines ausländischen (hier: des deutschen) Strafentscheides, und hindert die nach- trägliche Auslieferung vorliegend nicht.</w:t>
      </w:r>
    </w:p>
    <w:p>
      <w:r>
        <w:rPr>
          <w:b/>
        </w:rPr>
        <w:t>E. 4.1</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hatte sich die Europäische Kommission für Menschenrechte auf Ziff. 2 dieser Bestimmung berufen und befunden, dass der Eingriff in das Recht auf Schutz der Familie als Massnahme zur Bekämpfung des Verbrechens gerechtfertigt sei (BGE 120 Ib 120 E. 3d S. 128; 117 Ib 210 E. 3.b.cc S. 215 f. m.w.H.; Ent- scheid des Bundesstrafgerichts RR.2009.234 vom 11. Februar 2010 E. 10.2). Gemäss ständiger, restriktiver Rechtsprechung kann Art. 8 EMRK einer Auslieferung nur ausnahmsweise bei aussergewöhnlichen familiären Verhältnissen entgegenstehen (BGE 129 II 100 E. 3.5 m.w.H.; Urteil des Bundesgerichts 1C_226/2017 vom 24. Mai 2017 E. 1.5; Entscheide des Bun- desstrafgerichts RR.2014.229 vom 14. Januar 2015 E. 6; RR.2011.212 vom 20. Oktober 2011 E. 3.1).</w:t>
      </w:r>
    </w:p>
    <w:p>
      <w:r>
        <w:rPr>
          <w:b/>
        </w:rPr>
        <w:t>E. 4.2</w:t>
      </w:r>
    </w:p>
    <w:p>
      <w:r>
        <w:t>Die Beschwerdeführerin bringt ihre Verbundenheit zur Schweiz vor (vgl. Er- wägung 3.1). Diese ist insofern zu relativieren, als sie sich seit Mitte 2016 im Strafvollzug in Deutschland befindet. Eine Einschränkung des Familienle- bens der Beschwerdeführerin kann so wenig wie in jedem andern Straffall vermieden werden, in welchem eine Freiheitsstrafe vollstreckt wird. Ausser- gewöhnliche familiäre Verhältnisse liegen nicht vor. Die Rüge geht fehl.</w:t>
      </w:r>
    </w:p>
    <w:p>
      <w:r>
        <w:rPr>
          <w:b/>
        </w:rPr>
        <w:t>E. 5</w:t>
      </w:r>
    </w:p>
    <w:p>
      <w:r>
        <w:t>Insgesamt ist die Auslieferung somit zulässig für die dem Nachtragsersu- chen vom 24. Juli 2017 zugrunde liegenden Straftaten. Mit der Zulässigkeit einer nachträglichen Auslieferung sind die Rügen der Beschwerdeführerin bezüglich Verletzung des Spezialitätsprinzips hinfällig geworden. Es sind auch keine weiteren Auslieferungshindernisse erkennbar. Damit ist die Be- schwerde abzuweisen.</w:t>
      </w:r>
    </w:p>
    <w:p>
      <w:r>
        <w:t>- 7 -</w:t>
      </w:r>
    </w:p>
    <w:p>
      <w:r>
        <w:rPr>
          <w:b/>
        </w:rPr>
        <w:t>E. 6</w:t>
      </w:r>
    </w:p>
    <w:p>
      <w:r>
        <w:t>Unter Würdigung der massgebenden Kriterien und Umstände – die Be- schwerdeführerin befindet sich seit längerem im Strafvollzug – ist von der Erhebung einer Gerichtsgebühr abzusehen.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