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RR.2017.331 vom 15. Mai 2018</w:t>
      </w:r>
    </w:p>
    <w:p>
      <w:r>
        <w:t>Bundesstrafgericht, 2018-05-15, DE</w:t>
      </w:r>
    </w:p>
    <w:p>
      <w:r>
        <w:rPr>
          <w:b/>
        </w:rPr>
        <w:t xml:space="preserve">Quelle: </w:t>
      </w:r>
      <w:r>
        <w:t>https://mcp.opencaselaw.ch/entscheid/bstger_RR.2017.331</w:t>
      </w:r>
    </w:p>
    <w:p>
      <w:r>
        <w:t>FR: TPF RR.2017.331 du 15 mai 2018</w:t>
      </w:r>
    </w:p>
    <w:p>
      <w:r>
        <w:t>IT: TPF RR.2017.331 del 15 maggio 2018</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w:t>
      </w:r>
    </w:p>
    <w:p>
      <w:r>
        <w:t>- 6 -</w:t>
      </w:r>
    </w:p>
    <w:p>
      <w:r>
        <w:t>Bundesgerichts 1C_513/2010 vom 11. März 2011 E. 3.2; ZIMMERMANN, La coopération judiciaire internationale en matière pénale, 4. Aufl. 2014, N. 18-20,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Rechtshilfegesetz und die dazugehörige Verord- nung vom 24. Februar 1982 (IRSV; SR 351.11) anwendbar (Art. 1 Abs. 1 IRSG; BGE 136 IV 82 E. 3.1; 130 II 337 E. 1). Vorbehalten bleibt die Wahrung der Menschenrechte (BGE 135 IV 212 E. 2.3; 123 II 595 E. 7c;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w:t>
      </w:r>
    </w:p>
    <w:p>
      <w:r>
        <w:rPr>
          <w:b/>
        </w:rPr>
        <w:t>E. 2.2</w:t>
      </w:r>
    </w:p>
    <w:p>
      <w:r>
        <w:t>Die Beschwerdefrist gegen die Schlussverfügung beträgt 30 Tage ab der schriftlichen Mitteilung der Verfügung (Art. 80k IRSG). Die vorliegende Be- schwerde vom 11. Dezember 2017 gegen die Schlussverfügung vom 8. No- vember 2017 wurde form- und fristgerecht eingereicht.</w:t>
      </w:r>
    </w:p>
    <w:p>
      <w:r>
        <w:rPr>
          <w:b/>
        </w:rPr>
        <w:t>E. 2.3</w:t>
      </w:r>
    </w:p>
    <w:p>
      <w:r>
        <w:t>Zur Beschwerde ist berechtigt, wer persönlich und direkt von einer Rechts- hilfemassnahme betroffen ist und ein schutzwürdiges Interesse an deren Aufhebung oder Änderung hat (Art. 80h lit. b IRSG). Als persönlich und direkt betroffen wird im Falle der Herausgabe von Konteninformationen an den er- suchenden Staat bzw. bei Kontensperren der jeweilige Kontoinhaber ange- sehen (vgl. Art. 9a lit. a IRSV; BGE 137 IV 134 E. 5.2.1; TPF 2007 79 E. 1.6; je m.w.H.), dies auch dann, wenn die Kontoinformationen im Rahmen eines</w:t>
      </w:r>
    </w:p>
    <w:p>
      <w:r>
        <w:t>- 7 -</w:t>
      </w:r>
    </w:p>
    <w:p>
      <w:r>
        <w:t>schweizerischen Strafverfahrens ediert wurden (Entscheid des Bundesstraf- gerichts RR.2016.45 vom 22. Juli 2016 E. 3.1 m.w.H.).</w:t>
      </w:r>
    </w:p>
    <w:p>
      <w:r>
        <w:t>Vorliegend ist die Beschwerdeführerin zur Beschwerde berechtigt, da mit den angefochtenen Schlussverfügungen die Herausgabe von Unterlagen betreffend das auf sie lautende Konto und die Aufrechterhaltung der Sperre des auf sie lautenden Kontos angeordnet wurden.</w:t>
      </w:r>
    </w:p>
    <w:p>
      <w:r>
        <w:rPr>
          <w:b/>
        </w:rPr>
        <w:t>E. 2.4</w:t>
      </w:r>
    </w:p>
    <w:p>
      <w:r>
        <w:t>Auf die Beschwerde ist demnach einzutreten.</w:t>
      </w:r>
    </w:p>
    <w:p>
      <w:r>
        <w:rPr>
          <w:b/>
        </w:rPr>
        <w:t>E. 3.1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Urteil des Bundesge- richts 1A.1/2009 vom 20. März 2009 E. 1.6; TPF 2011 97 E. 5).</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w:t>
      </w:r>
    </w:p>
    <w:p>
      <w:r>
        <w:rPr>
          <w:b/>
        </w:rPr>
        <w:t>E. 4.1</w:t>
      </w:r>
    </w:p>
    <w:p>
      <w:r>
        <w:t>Die Beschwerdeführerin beantragt eine Fristansetzung zur Beschwerdeer- gänzung. Sie bringt zunächst vor, aufgrund der Fülle der Akten im Rechts- hilfeverfahren liege ein aussergewöhnlicher Umfang vor. Sodann wendet sie ein, auf weitere Akten bzw. auf deren Übersetzung zu warten, welche die geltend gemachten Verletzungen von Verfahrensrecht belegen würden (act. 1 S. 25). Zudem habe ein Wechsel der anwaltlichen Vertretung (mit An- zeige vom 22. Januar 2018; act. 11) stattgefunden, was naturgemäss auch zu gewissen Komplikationen und Verzögerungen führe (act. 17 S. 10 f.)</w:t>
      </w:r>
    </w:p>
    <w:p>
      <w:r>
        <w:rPr>
          <w:b/>
        </w:rPr>
        <w:t>E. 4.2</w:t>
      </w:r>
    </w:p>
    <w:p>
      <w:r>
        <w:t>Gemäss Art. 53 VwVG i.V.m. Art. 39 Abs. 1 lit. b StBOG gestattet die Be- schwerdinstanz der beschwerdeführenden Partei, die darum in ihrer sonst ordnungsgemäss eingereichten Beschwerde nachsucht, deren Begründung</w:t>
      </w:r>
    </w:p>
    <w:p>
      <w:r>
        <w:t>- 8 -</w:t>
      </w:r>
    </w:p>
    <w:p>
      <w:r>
        <w:t>innert einer angemessenen Nachfrist zu ergänzen, wenn es der ausserge- wöhnliche Umfang oder die besondere Schwierigkeit einer Beschwerdesa- che es erfordert.</w:t>
      </w:r>
    </w:p>
    <w:p>
      <w:r>
        <w:rPr>
          <w:b/>
        </w:rPr>
        <w:t>E. 4.3</w:t>
      </w:r>
    </w:p>
    <w:p>
      <w:r>
        <w:t>In casu liegt kein Anwendungsfall von Art. 53 VwVG vor. Wie die Beschwer- degegnerin zu Recht ausführt, weisen die Rechtshilfeakten keinen ausser- gewöhnlichen Umfang auf. Ebenso wenig sind besondere Schwierigkeiten in rechtlicher oder tatsächlicher Hinsicht erkennbar. Im Übrigen wurde die Be- schwerdeführerin bereits am 9. Juni 2017 zur Stellungnahme zum Rechts- hilfeersuchen aufgefordert. Sie nahm in der Folge auch ausführlich dazu Stellung. Sie hätte somit ohne Weiteres ausreichend Gelegenheit gehabt, in der Zwischenzeit die notwendigen Unterlagen zur Stütze ihrer Einwände zu- sammenzutragen. Es wäre der Beschwerdeführerin demnach ohnehin mög- lich gewesen, mit Erhebung der Beschwerde deren Begründung samt Beila- gen einzureichen. Bei dieser Ausgangslage ist ihrem Verfahrensantrag auf Fristansetzung nicht zu folgen.</w:t>
      </w:r>
    </w:p>
    <w:p>
      <w:r>
        <w:rPr>
          <w:b/>
        </w:rPr>
        <w:t>E. 5.1</w:t>
      </w:r>
    </w:p>
    <w:p>
      <w:r>
        <w:t>Die Beschwerdeführerin moniert zunächst, die Kontosperre im schweizeri- schen Strafverfahren sei ausschliesslich zum Zweck erfolgt, die spätere Kon- tosperre im Rechtshilfeverfahren zu ermöglichen. Sie sei damit als rechts- missbräuchlich zu qualifizieren (act. 1 S. 27 ff.).</w:t>
      </w:r>
    </w:p>
    <w:p>
      <w:r>
        <w:rPr>
          <w:b/>
        </w:rPr>
        <w:t>E. 5.2</w:t>
      </w:r>
    </w:p>
    <w:p>
      <w:r>
        <w:t>Einwände gegen die im schweizerischen Strafverfahren angeordnete Konto- sperre sind im vorliegenden Beschwerdeverfahren gegen die rechtshilfe- weise angeordnete Kontosperre nicht zu prüfen. Auf diese Rüge ist demnach nicht weiter einzugehen.</w:t>
      </w:r>
    </w:p>
    <w:p>
      <w:r>
        <w:rPr>
          <w:b/>
        </w:rPr>
        <w:t>E. 6</w:t>
      </w:r>
    </w:p>
    <w:p>
      <w:r>
        <w:t>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w:t>
      </w:r>
    </w:p>
    <w:p>
      <w:r>
        <w:t>Es ist nicht erforderlich, dass dem von der Rechtshilfemassnahme Betroffe- 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Hierbei ist auch zu beachten, dass für das ausländische Strafverfahren nicht nur belastende, sondern auch entlastende Beweismittel von Bedeutung sein können, um einen bestehenden Verdacht allenfalls wi- derlegen zu können (TPF 2011 97 E. 5.1 S. 106 m.w.H.). Zielt das Rechts- hilfeersuchen auf die Ermittlung ab, auf welchem Weg Geldmittel möglicher- weise strafbarer Herkunft verschoben wurden, so sind die Behörden des er- suchenden Staates grundsätzlich über alle Transaktionen zu informieren, die von Gesellschaften und über Konten getätigt wurden, welche in die Angele- genheit verwickelt sind (BGE 129 II 462 E. 5.3 S. 468; TPF 2011 97 E. 5.1 S. 106 m.w.H.).</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t>- 10 -</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Er hat die Obliegenheit, schon im Stadium der Ausführung des Ersuchens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Dies gilt besonders bei einer komplexen Untersuchung mit zahlreichen Akten.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6.1</w:t>
      </w:r>
    </w:p>
    <w:p>
      <w:r>
        <w:t>Die Beschwerdeführerin rügt in einem weiteren Punkt, dass nichts die Fest- stellung erlaube, dass ihre gesperrten Vermögenswerten kriminellen Ur- sprungs seien (act. 1 S. 9, S. 29). Daher sei sowohl die Kontosperre als auch die Herausgabe der Kontounterlagen illegal (act. 1 S. 29 ff.). Zwischen den herauszugebenden Bankunterlagen und den C. vorgeworfenen Straftaten bestehe kein Zusammenhang. Es handle sich deshalb um eine „fishing ex- pedition“ (act. 1 S. 36). Die Herausgabe der Bankunterlagen verletze auch das Bankkundengeheimnis (act. 1 S. 37). Die Beschlagnahme des gesamten Kontovermögens stelle darüber hinaus einen Ermessensmissbrauch seitens der Beschwerdegegnerin dar (act. 1 S. 30 f.). Die gesperrten Vermögens- werte würden sich auf umgerechnet ca. CHF 29.1 Mio. belaufen und würden</w:t>
      </w:r>
    </w:p>
    <w:p>
      <w:r>
        <w:t>- 9 -</w:t>
      </w:r>
    </w:p>
    <w:p>
      <w:r>
        <w:t>damit die geltend gemachte Deliktssumme unbestrittenermassen um knapp 13 % übersteigen (act. 17 S. 7).</w:t>
      </w:r>
    </w:p>
    <w:p>
      <w:r>
        <w:rPr>
          <w:b/>
        </w:rPr>
        <w:t>E. 6.2</w:t>
      </w:r>
    </w:p>
    <w:p>
      <w:r>
        <w:t>Rechtshilfemassnahmen haben generell dem Prinzip der Verhältnismässig- keit zu genügen (vgl. Entscheid des Bundesstrafgerichts RR.2013.298 vom</w:t>
      </w:r>
    </w:p>
    <w:p>
      <w:r>
        <w:rPr>
          <w:b/>
        </w:rPr>
        <w:t>E. 6.3</w:t>
      </w:r>
    </w:p>
    <w:p>
      <w:r>
        <w:t>Gemäss dem ukrainischen Rechtshilfeersuchen und dessen Ergänzungen wird C. in der Ukraine beschuldigt, sich als Generaldirektor des Unterneh- mens B. in der Zeit von Herbst 2010 bis Ende 2015 in Bereicherungsabsicht mehrfach Vermögenswerte dieses staatlichen Unternehmens angeeignet und dadurch veruntreut zu haben. In diesem Zusammenhang werden C. ins- gesamt 12 Sachverhalte mit einer Gesamtschadenssumme von UAH 700 Mio. vorgeworfen, was per 18. Oktober 2017 CHF 25‘718‘300.-- entspricht (zu den einzelnen Sachverhaltsvorwürfen s. Verfahrensakten, pag. 01.000- 0014 ff.).</w:t>
      </w:r>
    </w:p>
    <w:p>
      <w:r>
        <w:rPr>
          <w:b/>
        </w:rPr>
        <w:t>E. 6.4</w:t>
      </w:r>
    </w:p>
    <w:p>
      <w:r>
        <w:t>Es ist der Beschwerdeführerin zwar beizupflichten, dass im ukrainischen Rechtshilfeersuchen und dessen Ergänzungen eine direkte oder indirekte Überweisung des Deliktserlöses auf das Konto der Beschwerdeführerin nicht geschildert wird. Es besteht aber offensichtlich ein Untersuchungsinteresse an diesem Konto, weil C. wirtschaftlich daran berechtigt ist. Da C. direkt in die Strafangelegenheit verwickelt ist, sind die ukrainischen Behörden über alle Transaktionen zu informieren, die über dieses Konto getätigt wurden. Dies erlaubt den ukrainischen Behörden zu ermitteln, auf welchem Weg Geldmittel möglicherweise strafbarer Herkunft verschoben wurden. Es be- steht damit ein ausreichender Sachzusammenhang zwischen dem Konto der Beschwerdeführerin bzw. den entsprechenden Kontounterlagen und dem im Rechtshilfeersuchen samt Ergänzungen geschilderten Sachverhaltsvorwurf. Die Einwendungen der Beschwerdeführerin erweisen sich damit als nicht stichhaltig. Zu betonen bleibt, dass für das ukrainische Strafverfahren nicht</w:t>
      </w:r>
    </w:p>
    <w:p>
      <w:r>
        <w:t>- 11 -</w:t>
      </w:r>
    </w:p>
    <w:p>
      <w:r>
        <w:t>nur belastende, sondern auch entlastende Beweismittel von Bedeutung sein können, um einen bestehenden Verdacht allenfalls widerlegen zu können (vgl. supra E. 7.2). Lediglich Vollständigkeitshalber sei kurz noch auf die Ver- dachtslage im schweizerischen Strafverfahren hingewiesen. Gemäss den bisherigen Ermittlungen der Bundesanwaltschaft stimmen die auf das Konto der Beschwerdeführerin zugeflossenen Mittel mit den bei Kontoeröffnung ge- machten Angaben in keiner Weise überein und haben einen anderen, mut- masslich strafbaren Hintergrund, welcher in der Tätigkeit von C. beim vorge- nannten Unternehmen gesucht werden muss (s. supra lit. C). Das von der Beschwerdeführerin angerufene Bankkundengeheimnis (Art. 47 BankG [SR 952.0]) stellt im vorliegenden Zusammenhang kein Rechtshilfehindernis dar (vgl. BGE 115 Ib 68 E. 4b S. 83 mit Hinweisen).</w:t>
      </w:r>
    </w:p>
    <w:p>
      <w:r>
        <w:t>Was den Umfang der Kontosperre anbelangt, weist die Beschwerdegegnerin zu Recht daraufhin, dass der Schaden nach dem Umrechnungskurs im Tat- zeitpunkt das aktuell gesperrte Kontovermögen übersteigt (Verfahrensakten, pag. 16.000-0009 f.; act. 20 S. 2 f.). Selbst wenn der Umrechnungskurs im Zeitpunkt der allfälligen Einziehung massgeblich ist, sind künftige Schwan- kungen im Umrechnungskurs in Rechnung zu stellen und eine Marge von knapp 13 % erscheint unter diesem Gesichtspunkt nicht als unverhältnis- mässig. Dies gilt vorliegend um so mehr, als die Beschwerdeführerin keine einzige konkrete Verpflichtung nachweist, deren Nichterfüllung unmittelbar und konkret ihre Existenz bedrohen würde. Rechtshilfeweise gesperrte Ver- mögenswerte, welche mutmasslich deliktisch erlangt wurden, stellen sodann grundsätzlich kein Substrat zur Deckung von Honorarforderungen dar. Es besteht keine Rechtsgrundlage für die Freigabe der blockierten Gelder zur Deckung von Honorarforderungen (Urteil des Bundesgerichts 1A.335/2005 vom 22. März 2007 E. 4.3).</w:t>
      </w:r>
    </w:p>
    <w:p>
      <w:r>
        <w:rPr>
          <w:b/>
        </w:rPr>
        <w:t>E. 6.5</w:t>
      </w:r>
    </w:p>
    <w:p>
      <w:r>
        <w:t>Sowohl die Herausgabe der Kontounterlagen an die ersuchende Behörde als auch die Aufrechterhaltung der Kontosperre erweisen sich demnach in den geprüften Punkten als verhältnismässig. Entsprechende Eventualan- träge sind daher abzuweisen. Das betreffende Kontovermögen bleibt grund- sätzlich beschlagnahmt bis zum Vorliegen eines rechtskräftigen und voll- streckbaren Einziehungs- bzw. Rückerstattungsentscheids des ersuchen- den Staates bzw. bis der ersuchende Staat mitteilt, dass ein solcher Ent- scheid nicht mehr erfolgen kann (vgl. Art. 33a IRSV; s. Entscheide des Bun- desstrafgerichts RR.2017.282 vom 16. Januar 2018 E. 4.1; RR.2017.241 vom 7. September 2017 E. 3.5).</w:t>
      </w:r>
    </w:p>
    <w:p>
      <w:r>
        <w:t>- 12 -</w:t>
      </w:r>
    </w:p>
    <w:p>
      <w:r>
        <w:rPr>
          <w:b/>
        </w:rPr>
        <w:t>E. 7.1</w:t>
      </w:r>
    </w:p>
    <w:p>
      <w:r>
        <w:t>Gegen die Gewährung der Rechtshilfe bringt die Beschwerdeführerin schliesslich vor, das ukrainische Strafverfahren verletze die Verfahrens- rechte sowie die EMRK. C. sei ein Opfer justizieller Verbissenheit in der Uk- raine. Sie rügt das Unterlassen einer Einholung von Garantien (zu den Ein- wänden im Einzelnen s. act. 1 S. 9 ff.; act. 17 S. 7 ff.).</w:t>
      </w:r>
    </w:p>
    <w:p>
      <w:r>
        <w:rPr>
          <w:b/>
        </w:rPr>
        <w:t>E. 7.2</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w:t>
      </w:r>
    </w:p>
    <w:p>
      <w:r>
        <w:rPr>
          <w:b/>
        </w:rPr>
        <w:t>E. 7.3</w:t>
      </w:r>
    </w:p>
    <w:p>
      <w:r>
        <w:t>Bei der Beschwerdeführerin handelt es sich um eine juristische Person mit Sitz in den Niederlanden und somit ausserhalb des ersuchenden Staates. Sie ist im ukrainischen Strafverfahren nicht beschuldigt. Bei dieser Sachlage kann sich demnach die Beschwerdeführerin nicht auf eigene schützenswerte Interessen berufen. Auf ihre Rüge, die Gewährung von Rechtshilfe würde vorliegend Art. 2 IRSG verletzen, ist nach dem Gesagten nicht einzutreten.</w:t>
      </w:r>
    </w:p>
    <w:p>
      <w:r>
        <w:t>- 13 -</w:t>
      </w:r>
    </w:p>
    <w:p>
      <w:r>
        <w:rPr>
          <w:b/>
        </w:rPr>
        <w:t>E. 8</w:t>
      </w:r>
    </w:p>
    <w:p>
      <w:r>
        <w:t>Zusammenfassend erweist sich die Beschwerde gegen die Schlussverfü- gung vom 8. November 2017 in allen Punkten als unbegründet. Andere Rechtshilfehindernisse sind nicht ersichtlich. Sind die Rechtshilfevorausset- zungen erfüllt, sind die weiteren Eventualanträge folglich nicht zu prüfen. Nach dem Gesagten ist die Beschwerde daher abzuweisen.</w:t>
      </w:r>
    </w:p>
    <w:p>
      <w:r>
        <w:rPr>
          <w:b/>
        </w:rPr>
        <w:t>E. 9</w:t>
      </w:r>
    </w:p>
    <w:p>
      <w:r>
        <w:t>Bei diesem Ausgang des Verfahrens wird die Beschwerdeführerinnen kos- tenpflichtig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10'000.-- festzusetzen und den Beschwer- deführerinnen aufzuerlegen, unter Anrechnung des geleisteten Kostenvor- schusses in gleicher Höhe (Art. 63 Abs. 4bis lit. b VwVG; Art. 5 und 8 Abs. 3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