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RR.2017.322 vom 23. Februar 2018</w:t>
      </w:r>
    </w:p>
    <w:p>
      <w:r>
        <w:t>Bundesstrafgericht, 2018-02-23, DE</w:t>
      </w:r>
    </w:p>
    <w:p>
      <w:r>
        <w:rPr>
          <w:b/>
        </w:rPr>
        <w:t xml:space="preserve">Quelle: </w:t>
      </w:r>
      <w:r>
        <w:t>https://mcp.opencaselaw.ch/entscheid/bstger_RR.2017.322</w:t>
      </w:r>
    </w:p>
    <w:p>
      <w:r>
        <w:t>FR: TPF RR.2017.322 du 23 février 2018</w:t>
      </w:r>
    </w:p>
    <w:p>
      <w:r>
        <w:t>IT: TPF RR.2017.322 del 23 febbraio 2018</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w:t>
      </w:r>
    </w:p>
    <w:p>
      <w:r>
        <w:t>- 4 -</w:t>
      </w:r>
    </w:p>
    <w:p>
      <w:r>
        <w:t>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rPr>
          <w:b/>
        </w:rPr>
        <w:t>E. 2.1</w:t>
      </w:r>
    </w:p>
    <w:p>
      <w:r>
        <w:t>Die Schlussverfügung der ausführenden Bundesbehörde unterliegt der Be- schwerde an die Beschwerdekammer des Bundesstrafgerichts (Art. 80e Abs. 1 IRSG). Die entsprechende Beschwerdefrist beträgt 30 Tage (Art. 80k IRSG). Gemäss Art. 80m Abs. 1 IRSG stellt die ausführende Be- hörde ihre Verfügungen dem in der Schweiz wohnhaften Berechtigten (lit. a) sowie dem im Ausland ansässigen Berechtigten mit Zustelldomizil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 wie vorliegend (vgl. supra lit. E.) – bereits beendeter Bankverbindung dem betroffenen Bankinstitut zuzustellen (BGE 136 IV 16 E. 2.2; 130 II 505 E. 2.3 S. 507). Teilt die Bank dem ehemaligen Kunden den Erlass einer Verfügung auch nach Auflösung des Vertragsverhältnisses mit, so beginnt die Be- schwerdefrist grundsätzlich erst im Zeitpunkt der effektiven Kenntnisnahme zu laufen (BGE 136 IV 16 E. 2.3, mit Hinweisen; eine frühere Banklagernd- Vereinbarung ist bei saldierten Kontobeziehungen nicht mehr massgebend,</w:t>
      </w:r>
    </w:p>
    <w:p>
      <w:r>
        <w:t>- 5 -</w:t>
      </w:r>
    </w:p>
    <w:p>
      <w:r>
        <w:t>vgl. Entscheid des Bundesgerichts 1A.221/2002 vom 25. November 2002 E. 2.4).</w:t>
      </w:r>
    </w:p>
    <w:p>
      <w:r>
        <w:rPr>
          <w:b/>
        </w:rPr>
        <w:t>E. 2.2</w:t>
      </w:r>
    </w:p>
    <w:p>
      <w:r>
        <w:t>Vorliegend ist die Beschwerdeführerin im Ausland wohnhaft und hatte bis zum Erlass der Schlussverfügung kein Zustellungsdomizil in der Schweiz an- gezeigt. Die Beschwerdegegnerin eröffnete die Verfügung entsprechend nur der betroffenen Bank (vgl. Dispositiv-Ziff. 4 der Schlussverfügung). Diese hatte die Bankbeziehung mit der Beschwerdeführerin zuvor zwar bereits per Anfang Oktober 2010 beendet (vgl. Verfahrensakten BA, pag. 109.001-E- 0079 f.). Die Beschwerdeführerin wurde aber seitens der Bank dennoch über die Schlussverfügung vom 26. Oktober 2017 informiert, indem sie diese ihm am 2. November 2017 per Kurier zustellte (act. 1.3 – 1.4a). Damit erweist sich die am 4. Dezember 2017 erhobene Beschwerde als fristgerecht.</w:t>
      </w:r>
    </w:p>
    <w:p>
      <w:r>
        <w:rPr>
          <w:b/>
        </w:rPr>
        <w:t>E. 3.1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3.2</w:t>
      </w:r>
    </w:p>
    <w:p>
      <w:r>
        <w:t>Als Inhaberin des von der Rechtshilfe betroffenen Kontos ist die Beschwer- deführerin zur Beschwerde legitimiert.</w:t>
      </w:r>
    </w:p>
    <w:p>
      <w:r>
        <w:t>Auf die Beschwerde ist daher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t>- 6 -</w:t>
      </w:r>
    </w:p>
    <w:p>
      <w:r>
        <w:rPr>
          <w:b/>
        </w:rPr>
        <w:t>E. 5.1</w:t>
      </w:r>
    </w:p>
    <w:p>
      <w:r>
        <w:t>Die Beschwerdeführerin macht zunächst eine Verletzung des rechtlichen Gehörs geltend. Sie habe keine Gelegenheit gehabt, sich zum Rechtshilfe- verfahren und zum Rechtshilfeersuchen vom 2. März 2016 vorgängig zu äus- sern, da es die Bank G. unterlassen habe, ihr vor der Edition der gegen- ständlichen Bankbeziehung im April 2016 in Kenntnis zu setzen (act. 1, S. 5 f.).</w:t>
      </w:r>
    </w:p>
    <w:p>
      <w:r>
        <w:rPr>
          <w:b/>
        </w:rPr>
        <w:t>E. 5.2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a.a.O., N. 472). Bezieht sich das Rechtshilfeersuchen auf die Herausgabe von Bankunterlagen oder anderen Beweismitteln, muss die ausführende Behörde dem gemäss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Das geschieht in aller Regel durch die Zustellung einer Eintretens- oder Zwischenverfügung, die den Berechtig- ten Gelegenheit gibt, von sich aus ihre Einwände gegen die Gewährung oder den Umfang der Rechtshilfe vorzubringen (unveröffentlichtes Urteil des Bun- desgerichts i.S. P. vom 29. August 1997, E. 4b). Wie bereits dargelegt (vgl., supra E. 2.1) besteht eine Verpflichtung zur Zustellung von Verfügungen an die Berechtigten allerdings nur, wenn diese einen Wohnsitz oder zumindest ein Zustellungsdomizil im Inland haben (Art. 80m Abs. 1 IRSG). Art. 9 IRSV präzisiert, dass eine Partei oder ihr Rechtsbeistand, die im Ausland wohnen, ein Zustellungsdomizil in der Schweiz bezeichnen müssen; unterlassen sie dies, kann die Zustellung unterbleiben. In diesem Fall wird die Verfügung – zumindest in Verfahren, in denen es um die Übermittlung von Bankunterla- gen geht – der Bank zur Kenntnis gebracht. Diese ist nach Art. 80n Abs. 1 IRSG berechtigt und aufgrund des Vertrags mit ihrem Kunden verpflichtet, diesen über das Vorliegend des Rechtshilfeersuchens und allen damit zu- sammenhängenden Tatsachen zu informieren, sofern die zuständige Be- hörde dies nicht ausnahmsweise unter Hinweis auf Art. 292 StGB und des- sen Strafandrohung ausdrücklich untersagt hat (vgl. BGE 136 IV 18 E. 2.2; 124 II 124 E. 2d S. 127).</w:t>
      </w:r>
    </w:p>
    <w:p>
      <w:r>
        <w:rPr>
          <w:b/>
        </w:rPr>
        <w:t>E. 5.3</w:t>
      </w:r>
    </w:p>
    <w:p>
      <w:r>
        <w:t>Es wurde schon ausgeführt (vgl. supra E. 2.2), dass die Beschwerdegegne- rin vorliegend mangels schweizerischen Wohnsitzes der Beschwerdeführe-</w:t>
      </w:r>
    </w:p>
    <w:p>
      <w:r>
        <w:t>- 7 -</w:t>
      </w:r>
    </w:p>
    <w:p>
      <w:r>
        <w:t>rin und mangels Zustellungsdomizil in der Schweiz berechtigt war, die Ein- tretensverfügung vom 12. April 2016, die Editionsverfügung vom 15. Ap- ril 2016 und schliesslich die Schlussverfügung vom 26. Oktober 2017 der Bank zuzustellen. Aus den Akten geht nicht hervor, ob die Beschwerdefüh- rerin bereits vor Erlass der Schlussverfügung über das Rechtshilfeverfahren in Kenntnis gesetzt wurde und ob es ihr somit möglich gewesen wäre, der ausführenden Behörde rechtzeitig ein Zustelldomizil in der Schweiz bekannt zu geben und in der Folge am Verfahren teilzunehmen. Doch selbst wenn die Bank den (ehemaligen) Kontoinhaber nicht rechtzeitig über die Eintre- tensverfügung informiert hätte, ist dies nach der vorstehend zitierten Recht- sprechung vom Kontoinhaber zu vertreten, zumal die Beschwerdegegnerin kein Mitteilungsverbot ausgesprochen hat (vgl. Entscheide der Beschwerde- kammer des Bundesstrafgerichts RR.2017.233 vom 28. November 2017 E. 2.5.3; RR.2016.165-167 vom 5. Mai 2017 E. 2.5 mit Verweisen und RR.2010.255 + RR.2010.256 vom 8. Juni 2011 E. 4.3). Eine Verletzung des rechtlichen Gehörs durch die Beschwerdegegnerin ist vorliegend folglich nicht auszumachen.</w:t>
      </w:r>
    </w:p>
    <w:p>
      <w:r>
        <w:rPr>
          <w:b/>
        </w:rPr>
        <w:t>E. 6.1</w:t>
      </w:r>
    </w:p>
    <w:p>
      <w:r>
        <w:t>Die Beschwerdeführerin rügt eine Verletzung des Verhältnismässigkeitsprin- zips. Ihrer Ansicht nach sind sämtliche herauszugebenden Bankunterlagen für die ersuchende Behörde völlig uninteressant (act. 1, S. 15 ff.).</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Der er- suchte Staat hat die Würdigung der mit der Untersuchung befassten Be- hörde nicht durch seine eigene zu ersetzen und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w:t>
      </w:r>
    </w:p>
    <w:p>
      <w:r>
        <w:t>- 8 -</w:t>
      </w:r>
    </w:p>
    <w:p>
      <w:r>
        <w:t>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grundsätzlich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 feersuchens vermieden werden (BGE 136 IV 82 E. 4.1 S. 86; vgl. zum Gan- zen auch TPF 2009 161 E. 5.1 S. 164). Zielt das Rechtshilfeersuchen auf die Ermittlung ab, auf welchem Weg Geldmittel möglicherweise strafbarer Her- kunft verschoben worden sind, so sind die Behörden des ersuchenden Staa- tes grundsätzlich über alle Transaktionen zu informieren, die von Gesell- schaften und über Konten getätigt worden sind, welche in die Angelegenheit verwickelt sind (BGE 129 II 462 E. 5.3 S. 468; TPF 2011 97 E. 5.1 S. 106 m.w.H.).</w:t>
      </w:r>
    </w:p>
    <w:p>
      <w:r>
        <w:rPr>
          <w:b/>
        </w:rPr>
        <w:t>E. 6.3</w:t>
      </w:r>
    </w:p>
    <w:p>
      <w:r>
        <w:t>Gemäss Sachverhalt des Rechtshilfeersuchens vom 2. März 2014 besteht – wie eingangs erwähnt – der Verdacht, dass im Zusammenhang mit der Be- schaffung von fliegenden Radarsystemen für die griechische Luftwaffe schwedische Gesellschaften Bestechungsgelder in der Höhe von EUR 3 Mio. an griechische Spitzenbeamte geleistet hätten. Der der Beschaf- fung zugrunde liegende Vertrag sei am 1. Juli 1999 zwischen dem griechi- schen Verteidigungsministerium und der schwedischen Gesellschaft I. abge- schlossen worden. Die griechischen Behörden konnten im Laufe der Unter- suchungen feststellen, dass die Bestechungsgelder ursprünglich von der Gesellschaft I. an die J. Limited und danach an die K. Inc. weitergeleitet wor- den sind. Es konnte ferner ermittelt werden, dass die K. Inc. von ihrem Konto Nr. 1 bei der Bank D. Zahlungsüberweisungen auf das auf die Beschwerde- führerin lautende Stammkonto mit der Nr. 4 bei der Bank G. in Y. vorgenom- men hatte.</w:t>
      </w:r>
    </w:p>
    <w:p>
      <w:r>
        <w:rPr>
          <w:b/>
        </w:rPr>
        <w:t>E. 6.4</w:t>
      </w:r>
    </w:p>
    <w:p>
      <w:r>
        <w:t>Die Beschwerdegegnerin hat aufgrund der Bankunterlagen zum Konto Nr. 4 feststellen können, dass über diese Bankverbindung Transaktionen abgewi- ckelt worden sind, die im Zusammenhang mit dem im Rechtshilfeersuchen geschilderten Sachverhalt stehen können. So finde sich in den Kontounter- lagen unter anderem ein Beleg, wonach am 7. Oktober 2005 der Betrag von EUR 150‘000.-- von einem Konto der K. Inc. auf das Konto der Beschwerde- führerin überwiesen worden sei. Ferner seien am 5. und 7. Oktober 2005 auf</w:t>
      </w:r>
    </w:p>
    <w:p>
      <w:r>
        <w:t>- 9 -</w:t>
      </w:r>
    </w:p>
    <w:p>
      <w:r>
        <w:t>das besagte Konto zwei Zahlungen in der Höhe von EUR 150‘000.-- und 700‘000.-- von der L. Inc. und der M. Ltd. eingegangen. Ermittlungen sollen ergeben haben, dass über die beiden Gesellschaften mutmasslich Beste- chungsgelder geflossen seien (act. 1.2 Ziff. II 3). Ziel des Rechtshilfeersu- chens ist die Ermittlung der Geldflüsse und der wirtschaftlich Berechtigten an den fraglichen Vermögenswerten. Vor diesem Hintergrund sind die Kon- tounterlagen der Beschwerdeführerin potentiell geeignet, mögliche Geld- flüsse im Zusammenhang mit dem im Rechtshilfeersuchen geschilderten Sachverhalt aufzudecken. Dabei ist die potentielle Erheblichkeit mit Bezug auf sämtliche das Konto der Beschwerdeführerin betreffenden Unterlagen zu bejahen. Es entspricht der Rechtsprechung, dass die Behörden des ersu- chenden Staates grundsätzlich alle sichergestellten Aktenstücke zu übermit- teln haben, welche sich auf den im Ersuchen dargelegten Verdacht beziehen können. Dies gilt gerade dann, wenn das Rechtshilfeersuchen wie vorlie- gend, auf die Ermittlung abzielt, auf welchem Weg Geldmittel mutmasslich strafbarer Herkunft verschoben wurden. Ob es sich bei den Gutschriften auf das Konto der Beschwerdeführerin am 5. und 7. Oktober 2005 um Transak- tionen im Zusammenhang mit der Erfüllung eines in Athen notariell beurkun- den Aktienkaufvertrages handeln soll, wie dies die Beschwerdeführerin be- hauptet, ist nicht vom Rechtshilferichter zu prüfen. Diese Frage wird Gegen- stand im griechischen Strafverfahren sein. Im Übrigen handelt es sich hierbei um eine im Rechtshilfeverfahren ohnehin unzulässige Gegendarstellung (vgl. 132 II 81 E. 2.1 S. 85). Eine Verletzung des Verhältnismässigkeitsprin- zips ist nicht auszumachen.</w:t>
      </w:r>
    </w:p>
    <w:p>
      <w:r>
        <w:t>Die Beschwerde ist insgesamt unbegründet und daher abzuweisen.</w:t>
      </w:r>
    </w:p>
    <w:p>
      <w:r>
        <w:rPr>
          <w:b/>
        </w:rPr>
        <w:t>E. 7</w:t>
      </w:r>
    </w:p>
    <w:p>
      <w:r>
        <w:t>Bei diesem Ausgang des Verfahrens sind die Gerichtskosten der Beschwer- deführerin aufzuerlegen (Art. 63 Abs. 1 VwVG). Die Gerichtsgebühr ist auf Fr. 4'000.-- festzusetzen (Art. 63 Abs. 5 VwVG i.V.m. Art. 73 StBOG sowie Art. 5 und 8 Abs. 3 lit. a BStKR), unter Anrechnung des geleisteten Kosten- 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