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RR.2017.307 vom 4. Dezember 2017</w:t>
      </w:r>
    </w:p>
    <w:p>
      <w:r>
        <w:t>Bundesstrafgericht, 2017-12-04, FR</w:t>
      </w:r>
    </w:p>
    <w:p>
      <w:r>
        <w:rPr>
          <w:b/>
        </w:rPr>
        <w:t xml:space="preserve">Quelle: </w:t>
      </w:r>
      <w:r>
        <w:t>https://mcp.opencaselaw.ch/entscheid/bstger_RR.2017.307</w:t>
      </w:r>
    </w:p>
    <w:p>
      <w:r>
        <w:t>FR: TPF RR.2017.307 du 4 décembre 2017</w:t>
      </w:r>
    </w:p>
    <w:p>
      <w:r>
        <w:t>IT: TPF RR.2017.307 del 4 dicembre 2017</w:t>
      </w:r>
    </w:p>
    <w:p>
      <w:pPr>
        <w:pStyle w:val="Heading2"/>
      </w:pPr>
      <w:r>
        <w:t>Regeste</w:t>
      </w:r>
    </w:p>
    <w:p>
      <w:r>
        <w:t>Extradition à l'Allemagne. Décision d'extradition (art. 55 EIMP). Assistance judiciaire (art. 65 PA).</w:t>
      </w:r>
    </w:p>
    <w:p>
      <w:pPr>
        <w:pStyle w:val="Heading2"/>
      </w:pPr>
      <w:r>
        <w:t>Erwägungen</w:t>
      </w:r>
    </w:p>
    <w:p>
      <w:r>
        <w:rPr>
          <w:b/>
        </w:rPr>
        <w:t>E. 1.1</w:t>
      </w:r>
    </w:p>
    <w:p>
      <w:r>
        <w:t>L’extradition entre la Suisse et la République d’Allemagne est régie par la Convention européenne d’extradition (CEExtr; RS 0.353.1) et son deuxième Protocole additionnel (RS 0.353.12). Entre également en compte l’Accord</w:t>
      </w:r>
    </w:p>
    <w:p>
      <w:r>
        <w:t>- 3 -</w:t>
      </w:r>
    </w:p>
    <w:p>
      <w:r>
        <w:t>entre la Confédération suisse et la République d’Allemagne en vue de com- pléter la CEExtr et de faciliter son application (RS 0.353.913.61). À compter du 12 décembre 2008, les art. 59 à 66 de la Convention d’application de l’Accord Schengen du 14 juin 1985 (CAAS; n° CELEX 42000A0922[02]; Journal officiel de l’Union européenne L 239 du 22 septembre 2000, p. 19 à 62) s’appliquent également à l’extradition entre la Suisse et l’Allemagne (cf. arrêt du Tribunal pénal fédéral RR.2008.296 du 17 décembre 2008, con- sid. 1.3). Les dispositions pertinentes du CAAS n’affectent pas l’application des dispositions plus larges des accords en vigueur entre l’Allemagne et la Suisse (art. 59 ch. 2 CAAS). Pour le surplus, la loi fédérale sur l’entraide internationale en matière pénale (EIMP; RS 351.1) et son ordonnance d’exé- cution (OEIMP; RS 351.11) règlent les questions qui ne sont pas régies, ex- plicitement ou implicitement, par les traités internationaux et s’appliquent, en outre, lorsque leurs dispositions sont plus favorables à l’octroi de l’extradition que le droit international (ATF 142 IV 250 consid. 3; 140 IV 123 consid. 2 137 IV 33 consid. 2.2.2; arrêt du Tribunal fédéral 1B_217/2009 du 17 sep- tembre 2009, consid. 2 non publié in ATF 135 IV 212; TPF 2008 24 con- sid 1.1). L’application de la norme la plus favorable (principe dit «de faveur») doit avoir lieu dans le respect des droits fondamentaux (ATF 135 IV 212 con- sid. 2.3).</w:t>
      </w:r>
    </w:p>
    <w:p>
      <w:r>
        <w:rPr>
          <w:b/>
        </w:rPr>
        <w:t>E. 1.2.1</w:t>
      </w:r>
    </w:p>
    <w:p>
      <w:r>
        <w:t>La décision par laquelle l’OFJ accorde l’extradition (art. 55 al. 1 EIMP) peut faire l’objet d’un recours devant la Cour des plaintes du Tribunal pénal fédé- ral (art. 55 al. 3 et 25 al. 1 EIMP). La personne extradée a qualité pour re- courir au sens de l’art. 21 al. 3 EIMP (ATF 122 II 373 consid. 1b; 118 Ib 269 consid. 2d; arrêt du Tribunal pénal fédéral RR.2011.310 du 17 janvier 2012, consid. 1).</w:t>
      </w:r>
    </w:p>
    <w:p>
      <w:r>
        <w:rPr>
          <w:b/>
        </w:rPr>
        <w:t>E. 1.2.2</w:t>
      </w:r>
    </w:p>
    <w:p>
      <w:r>
        <w:t>Formé dans les 30 jours à compter de la notification de la décision d’extradi- tion, le recours est recevable (art. 80k EIMP).</w:t>
      </w:r>
    </w:p>
    <w:p>
      <w:r>
        <w:rPr>
          <w:b/>
        </w:rPr>
        <w:t>E. 2.1</w:t>
      </w:r>
    </w:p>
    <w:p>
      <w:r>
        <w:t>Le recourant se plaint d'une constatation inexacte des faits pertinents, ainsi que d'une violation de l'interdiction de l'arbitraire au sens de l'art. 9 Cst. et des règles posées par les art. 5a CEExtr, 3 al. 1 du deuxième protocole ad- ditionnel à la CEExtr et 6 CEDH pour les cas où l'extradition est demandée aux fins de l'exécution d'une peine prononcée par une décision rendue par défaut. Il aurait définitivement quitté le territoire allemand après le prononcé du Amtsgericht Essen du jugement du 16 mars 2004. Aussi, c'est par défaut – et sans qu'il ait été régulièrement convoqué – qu'aurait été rendu le verdict, mentionné dans la documentation extraditionnelle, de six mois de prison ferme auquel l'a condamné ce même tribunal le 2 septembre 2004. Partant, les réquisits de ces dispositions conventionnelles ne seraient pas remplis.</w:t>
      </w:r>
    </w:p>
    <w:p>
      <w:r>
        <w:t>- 4 -</w:t>
      </w:r>
    </w:p>
    <w:p>
      <w:r>
        <w:rPr>
          <w:b/>
        </w:rPr>
        <w:t>E. 2.2</w:t>
      </w:r>
    </w:p>
    <w:p>
      <w:r>
        <w:t>La demande d'extradition porte uniquement sur l'exécution de la peine pro- noncée contre le recourant le 16 mars 2004 (act. 4.2, p. 2). Ainsi, les circons- tances dans lesquelles l'intéressé a été condamné en septembre de cette même année sont dépourvues de pertinence pour l'issue du présent litige. N'est pas non plus déterminante la question de savoir si le recourant était ou non présent le 25 avril 2007, date de la révocation du sursis prononcé le 16 mars 2004 (cf. act. 4.1, p. 7). Effectivement, de jurisprudence constante, les dispositions conventionnelles précitées ne s'appliquent pas aux procé- dures de révocation du sursis (arrêt du Tribunal pénal fédéral RR.2016.230 du 18 novembre 2016, consid. 3.2 et les références citées). Les griefs sou- levés sont donc mal fondés.</w:t>
      </w:r>
    </w:p>
    <w:p>
      <w:r>
        <w:rPr>
          <w:b/>
        </w:rPr>
        <w:t>E. 3</w:t>
      </w:r>
    </w:p>
    <w:p>
      <w:r>
        <w:t>Il suit de ce qui précède que le recours est mal fondé.</w:t>
      </w:r>
    </w:p>
    <w:p>
      <w:r>
        <w:rPr>
          <w:b/>
        </w:rPr>
        <w:t>E. 4.1</w:t>
      </w:r>
    </w:p>
    <w:p>
      <w:r>
        <w:t>Le recourant sollicite l'octroi de l'assistance judiciaire gratuite.</w:t>
      </w:r>
    </w:p>
    <w:p>
      <w:r>
        <w:rPr>
          <w:b/>
        </w:rPr>
        <w:t>E. 4.2</w:t>
      </w:r>
    </w:p>
    <w:p>
      <w:r>
        <w:t>Après le dépôt du recours, la partie qui ne dispose pas de ressources suffi- 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S'agissant des conclu- 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Tel est le cas en l'espèce. Les arguments développés à l'appui du recours se sont avérés infondés au regard d'un état de fait clair, respectivement d'une jurisprudence bien établie. L'assistance judiciaire doit partant être re- fusée.</w:t>
      </w:r>
    </w:p>
    <w:p>
      <w:r>
        <w:rPr>
          <w:b/>
        </w:rPr>
        <w:t>E. 5</w:t>
      </w:r>
    </w:p>
    <w:p>
      <w:r>
        <w:t>Les frais de procédure sont mis à charge du recourant, qui succombe (art. 63 al. 1 PA). L’émolument judiciaire, calculé conformément à l’art. 5 du règlement du 31 août 2010 sur les frais, émoluments, dépens et indemnités de la procédure pénale fédérale (RFPPF; RS 173.713.162; cf. art. 63 al. 5 PA) est fixé, compte tenu de la situation financière du recourant, à CHF 500.--.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