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RR.2017.304 vom 13. Februar 2018</w:t>
      </w:r>
    </w:p>
    <w:p>
      <w:r>
        <w:t>Bundesstrafgericht, 2018-02-13, FR</w:t>
      </w:r>
    </w:p>
    <w:p>
      <w:r>
        <w:rPr>
          <w:b/>
        </w:rPr>
        <w:t xml:space="preserve">Quelle: </w:t>
      </w:r>
      <w:r>
        <w:t>https://mcp.opencaselaw.ch/entscheid/bstger_RR.2017.304</w:t>
      </w:r>
    </w:p>
    <w:p>
      <w:r>
        <w:t>FR: TPF RR.2017.304 du 13 février 2018</w:t>
      </w:r>
    </w:p>
    <w:p>
      <w:r>
        <w:t>IT: TPF RR.2017.304 del 13 febbraio 2018</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bilatéral com- plétant cette convention (RS 0.351.934.92).</w:t>
      </w:r>
    </w:p>
    <w:p>
      <w:r>
        <w:rPr>
          <w:b/>
        </w:rPr>
        <w:t>E. 1.1</w:t>
      </w:r>
    </w:p>
    <w:p>
      <w:r>
        <w:t>A compter du 12 décembre 2008, les art. 48 ss de la Convention d’applica- tion de l’Accord Schengen du 14 juin 1985 (CAAS; n° CELEX 42000A0922(02); Journal officiel de l’Union européenne L 239 du 22 sep- tembre 2000, p. 19 à 62) s’appliquent également à l’entraide pénale entre la Suisse et la France. Peut également s’appliquer en l’occurrence la Conven- tion européenne relative au blanchiment, au dépistage, à la saisie et à la</w:t>
      </w:r>
    </w:p>
    <w:p>
      <w:r>
        <w:t>- 4 -</w:t>
      </w:r>
    </w:p>
    <w:p>
      <w:r>
        <w:t>confiscation des produits du crime (CBI;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 ment FF 2004 5807 à 5827 et 6127 ss) sont également applicables. En effet, bien qu’il ne soit pas encore en vigueur, en vertu de son art. 44 al. 3, l’Accord anti-fraude est applicable entre ces deux Etats à compter du 8 avril 2009.</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142 IV 250 consid. 3; 140 IV 123 consid. 2). Le principe du droit le plus favorable à l’entraide s’applique aussi pour ce qui concerne le rapport entre elles des normes internationales pertinentes (v. art. 48 par. 2 CAAS; art. 39 CBI). L’application de la norme la plus favo- 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 rité cantonale ou fédérale d’exécution.</w:t>
      </w:r>
    </w:p>
    <w:p>
      <w:r>
        <w:rPr>
          <w:b/>
        </w:rPr>
        <w:t>E. 1.3</w:t>
      </w:r>
    </w:p>
    <w:p>
      <w:r>
        <w:t>Le délai de recours contre la décision de clôture est de 30 jours dès la com- munication écrite de celle-ci (art. 80k EIMP). Déposé à un bureau de poste suisse le 16 novembre 2017, le recours contre la décision de clôture notifiée le 17 octobre 2017 (act. 1.3) est intervenu en temps utile.</w:t>
      </w:r>
    </w:p>
    <w:p>
      <w:r>
        <w:rPr>
          <w:b/>
        </w:rPr>
        <w:t>E. 1.4.1</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w:t>
      </w:r>
    </w:p>
    <w:p>
      <w:r>
        <w:t>- 5 -</w:t>
      </w:r>
    </w:p>
    <w:p>
      <w:r>
        <w:rPr>
          <w:b/>
        </w:rPr>
        <w:t>E. 1.4.2</w:t>
      </w:r>
    </w:p>
    <w:p>
      <w:r>
        <w:t>La transmission ordonnée concerne la documentation bancaire relative à la relation IBAN n°1 ouverte au nom de B. Ltd en les livres de la banque D.. En application des principes susmentionnés, cette dernière est légitimée à re- courir à cet égard. A., quant à lui, est l’ayant droit économique du compte en question et non son titulaire. Celui-ci se prévaut à nouveau de l’arrêt de la Cour européenne des droits de l’homme (ci-après: CEDH) G.S.B contre Suisse du 22 décembre 2015 pour tenter de fonder sa propre légitimation à recourir. Il soutient que la Cour de céans, dans son arrêt du 28 juin 2017, a mal interprété l’arrêt de la CEDH dès lors que l’ayant droit économique voit à l’évidence sa sphère privée atteinte; la qualité pour recourir devrait ainsi lui être reconnue (act. 1, p. 8). L’arrêt invoqué par le recourant n’est cependant pas de nature à modifier la pratique des autorités suisses concernant la qua- lité pour recourir de l’ayant droit économique. Comme l’a indiqué la Cour de céans dans l’arrêt précité (act. 1.1quater, consid. 1.4), l’arrêt de la CEDH concerne précisément le titulaire des comptes bancaires visés par l’entraide et non l’ayant droit économique (v. également arrêt du Tribunal fédéral 1C_333/2016 du 25 juillet 2016 consid. 1.3.2 in fine). Au surplus dans cet arrêt, la CEDH relève que, s’il n’est pas douteux que des informations rele- vant des comptes bancaires sont à considérer comme des données person- nelles protégées par l’article 8 de la Convention, la Cour reconnaît qu’il con- vient d’accorder aux autorités nationales compétentes une certaine latitude pour établir un juste équilibre entre la protection des intérêts publics poursui- vis, d’une part, et celle des intérêts d’une partie ou d’une tierce personne à voir certaines données rester confidentielles, d’autre part (arrêt précité, par. 90 in fine). La Cour poursuit en relevant que «s’agissant de la situation du requérant, il échet d’observer que seules sont en question ses données bancaires, soit des informations purement financières; il ne s’agissait donc nullement de données intimes ou liées étroitement à son identité qui auraient mérité une protection accrue. Il s’ensuit que la marge d’appréciation de la Suisse était ample» (arrêt précité, par. 93 in fine). Contrairement à ce que soutient le recourant, les règles applicables à la qualité pour agir en matière de transmission de données bancaires n’ont pas été élargies à l’ayant droit économique dans l’arrêt de la CEDH précité. Au vu de ce qui précède, la qualité pour recourir ne saurait être reconnue à A..</w:t>
      </w:r>
    </w:p>
    <w:p>
      <w:r>
        <w:rPr>
          <w:b/>
        </w:rPr>
        <w:t>E. 1.5</w:t>
      </w:r>
    </w:p>
    <w:p>
      <w:r>
        <w:t>Le recours est ainsi recevable dans la mesure précisée au considérant pré- cédent.</w:t>
      </w:r>
    </w:p>
    <w:p>
      <w:r>
        <w:rPr>
          <w:b/>
        </w:rPr>
        <w:t>E. 2</w:t>
      </w:r>
    </w:p>
    <w:p>
      <w:r>
        <w:t>La recourante estime que la condition de la double incrimination n’est pas réalisée. L’infraction d’exercice illégal de l’activité de conseil en investisse- ments financiers est inconnue en droit suisse, et il n’y aurait aucun élément reliant la recourante au blanchiment d’argent (act. 1, p. 13-14).</w:t>
      </w:r>
    </w:p>
    <w:p>
      <w:r>
        <w:t>- 6 -</w:t>
      </w:r>
    </w:p>
    <w:p>
      <w:r>
        <w:rPr>
          <w:b/>
        </w:rPr>
        <w:t>E. 2.1</w:t>
      </w:r>
    </w:p>
    <w:p>
      <w:r>
        <w:t>La condition de la double incrimination est satisfaite lorsque l’état de faits exposé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 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4e éd. 2014, n°581, p. 584 s.).</w:t>
      </w:r>
    </w:p>
    <w:p>
      <w:r>
        <w:rPr>
          <w:b/>
        </w:rPr>
        <w:t>E. 2.2</w:t>
      </w:r>
    </w:p>
    <w:p>
      <w:r>
        <w:t>Lorsque l’autorité étrangère adresse une requête d’entraide aux fins d’ap- puyer une enquête menée du chef de blanchiment d’argent, elle ne doit pas nécessairement apporter la preuve de la commission des actes de blanchi- ment ou de l’infraction préalable; un simple soupçon considéré objective-</w:t>
      </w:r>
    </w:p>
    <w:p>
      <w:r>
        <w:t>- 7 -</w:t>
      </w:r>
    </w:p>
    <w:p>
      <w:r>
        <w:t>ment suffit pour l’octroi de la coopération sous l’angle de la double incrimi- nation (arrêt du Tribunal pénal fédéral RR.2017.99 + RR.2017.65/ RP.2017.22 du 1er décembre 2017 consid. 4.2 et références citées).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14août 2008 consid. 3.3 et références citées). L’importance des sommes mises en cause lors des transactions suspectes constitue également un mo- tif de soupçon de blanchiment. Cette interprétation correspond à la notion d’entraide «la plus large possible» dont il est question aux art. 1 CEEJ,</w:t>
      </w:r>
    </w:p>
    <w:p>
      <w:r>
        <w:rPr>
          <w:b/>
        </w:rPr>
        <w:t>E. 2.3</w:t>
      </w:r>
    </w:p>
    <w:p>
      <w:r>
        <w:t>Il ressort de la demande d’entraide française qu’une enquête pénale est ouverte des chefs d’exercice illégal de l’activité de conseil en investisse- ments financiers et de blanchiment d’argent (concours à une opération de placement, dissimulation ou conversion du produit d’un délit) à l’encontre de E., F. et G., ainsi que contre les personnes morales C. Sàrl (basée à Genève et dirigée par F.), H. Lda (basée au Portugal) et la recourante (basée dans les Iles Vierges britanniques; act. 1.12 p. 3). Des transactions financières aux origines potentiellement illicites auraient été effectuées principalement entre ces trois sociétés. Un compte bancaire ouvert par E. en France, sur lequel ont été découverts des mouvements suspects, serait à l’origine de la dénonciation auprès des autorités françaises. Ce même compte aurait reçu EUR 250'000.-- du compte de la banque D. appartenant à la recourante (ob- jet de la décision querellée) et aurait ensuite effectué deux virements à des- tination de l’Italie pour un montant de près de EUR 230'000.--. Un dénommé I. aurait par ailleurs été victime d’une escroquerie commise par C. Sàrl por- tant sur la somme de EUR 210'000.--: il aurait versé un acompte afin d’obte- nir une garantie, mais n’aurait pas reçu les bons promis en contrepartie, ni la somme versée en retour.</w:t>
      </w:r>
    </w:p>
    <w:p>
      <w:r>
        <w:rPr>
          <w:b/>
        </w:rPr>
        <w:t>E. 2.4</w:t>
      </w:r>
    </w:p>
    <w:p>
      <w:r>
        <w:t>Conformément aux principes précités (supra, 2.1), il n’est pas nécessaire que la condition de la double incrimination soit réalisée pour chacun des chefs à raison desquels les prévenus sont poursuivis dans l’Etat requérant. L’argument selon lequel l’infraction d’exercice illégal de l’activité de conseil en investissements financiers n’est pas connue du droit suisse est dès lors dénué de pertinence. L’un des chefs d’accusation étant le blanchiment d’ar- gent, il suffit que l’on soit en présence de transactions suspectes, sans devoir nécessairement apporter la preuve de la commission d’actes de blanchiment ou de l’infraction préalable, pour accorder l’entraide (supra, consid. 2.2). Les faits énoncés par l’autorité requérante, puis résumés par le MP-GE, peuvent</w:t>
      </w:r>
    </w:p>
    <w:p>
      <w:r>
        <w:t>- 8 -</w:t>
      </w:r>
    </w:p>
    <w:p>
      <w:r>
        <w:t>prima facie être qualifiés d’escroquerie selon le droit suisse, dans la mesure où les protagonistes ont obtenu de l’argent sans contrepartie en faisant croire à l’obtention potentielle d’un crédit. De plus, des transactions sus- pectes n’ont pas pu être justifiées à satisfaction par E., particulièrement celles provenant de la recourante. L’on est par ailleurs en présence de tran- sactions opérées entre plusieurs sociétés réparties dans divers pays (Suisse, France, Italie, Espagne et Portugal) et les sommes mises en cause lors des transactions suspectes avoisinent les EUR 400'000.-- de sorte qu’elles peuvent être qualifiées d’importantes. Au vu de ce qui précède, il y a suffisamment d’indices fondant le soupçon de blanchiment, permettant à la Suisse d’accorder sa collaboration sous l’angle de la condition de double incrimination. Il en découle que le grief de la recourante est infondé.</w:t>
      </w:r>
    </w:p>
    <w:p>
      <w:r>
        <w:t>3. La recourante invoque encore une violation du principe de la proportionna- lité. Le MP-GE irait au-delà de la requête adressée par l’autorité française en ordonnant, en plus de la transmission des relevés bancaires, la transmis- sion des annexes au compte, notamment les documents d’ouverture de ce- lui-ci; il violerait par conséquent l’art. 63 al. 1 EIMP (act. 1, p. 13).</w:t>
      </w:r>
    </w:p>
    <w:p>
      <w:r>
        <w:t>3.1 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w:t>
      </w:r>
    </w:p>
    <w:p>
      <w:r>
        <w:t>- 9 -</w:t>
      </w:r>
    </w:p>
    <w:p>
      <w:r>
        <w:t>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t>3.2 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3.3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w:t>
      </w:r>
    </w:p>
    <w:p>
      <w:r>
        <w:t>- 10 -</w:t>
      </w:r>
    </w:p>
    <w:p>
      <w:r>
        <w:t>(ATF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 sid. 2.2; 1A.75/2006 du 20 juin 2006 consid. 3.2; 1A.79/2005 du 27 avril 2005 consid. 4.2; 1A.59/2005 du 26 avril 2005 consid. 6.3). Certes, il se peut éga- lement que les comptes litigieux n’aient pas servi à recevoir le produit d’in- fractions pénales, ni à opérer des virements illicites ou à blanchir des fonds. L’autorité requérante n’en dispose pas moins d’un intérêt à pouvoir le vérifier elle-même, sur le vu d’une documentation complète (ATF 118 Ib 547 con- 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 ger et n’est pas compétente pour se prononcer sur la substance des chefs d’accusation formulés par les autorités de poursuite (v. ATF 132 II 81 con- sid. 2.1; 122 II 373 consid. 1c p. 375; 112 Ib 215 consid. 5b; 109 Ib 60 consid. 5a p. 63 et renvois).</w:t>
      </w:r>
    </w:p>
    <w:p>
      <w:r>
        <w:t>3.4 Dans sa demande d’entraide, l’autorité française indique que les investiga- tions diligentées confirmaient l’existence d’opérations financières atypiques principalement entre diverses sociétés, dont la recourante. Cette dernière aurait effectué un virement depuis le compte n°1 de la banque D. en faveur de E., l’une des principales personnes mise en cause par l’enquête fran- çaise. L’autorité requérante sollicite la collaboration du MP-GE notamment afin de lui communiquer l’identité du titulaire du compte de la banque D. pré- cité ayant alimenté à hauteur de EUR 250'000.-- un compte ouvert à la banque J. (les investigations déjà diligentées attribuant ce compte à la so- ciété recourante), de communiquer les relevés bancaires relatifs à ce compte pour la période du 1er janvier 2011 au 31 octobre 2012 et de procéder aux autres investigations qui s’avéreraient utiles à la manifestation de la vérité (act. 1.12, p. 4).</w:t>
      </w:r>
    </w:p>
    <w:p>
      <w:r>
        <w:t>3.5 En vertu de la jurisprudence précitée, particulièrement du principe de l’utilité potentielle, il se justifie dès lors que l’autorité requérante puisse prendre con- naissance de la documentation bancaire et ses annexes, dont la demande d’ouverture et le formulaire A notamment. Ces informations sont de nature à présenter un intérêt pour l’enquête en cours des autorités françaises et sont en lien avec celle-ci. L’autorité requérante dispose en outre d’un intérêt à pouvoir vérifier elle-même, sur la base d’une documentation complète, la pertinence de la documentation précitée.</w:t>
      </w:r>
    </w:p>
    <w:p>
      <w:r>
        <w:t>- 11 -</w:t>
      </w:r>
    </w:p>
    <w:p>
      <w:r>
        <w:t>Au vu de ce qui précède, le grief de violation du principe de la proportionna- lité est mal fondé.</w:t>
      </w:r>
    </w:p>
    <w:p>
      <w:r>
        <w:t>4. En règle générale, les frais de procédure, comprenant l’émolument d’arrêté, les émoluments de chancellerie et les débours, sont mis à la charge de la partie qui succombe (art. 63 al. 1 de la loi fédérale sur la procédure adminis- trative [PA; RS 172.021], applicable par renvoi de l’art. 39 al. 2 let. b LOAP). Le montant de l’émolument est calculé en fonction de l’ampleur et de la dif- ficulté de la cause, de la façon de procéder des parties, de leur situation financière et des frais de chancellerie (art. 73 al. 2 LOAP). Les recourants, qui succombent, supporteront ainsi les frais du présent arrêt, fixés à CHF 5'000.-- (art. 73 al. 2 LOAP et art. 8 al. 3 du règlement du Tribunal pénal fédéral sur les frais, émoluments, dépens, et indemnités de la procédure pé- nale fédérale du 31 août 2010 [RFPPF; RS 173.713.162] et art. 63 al. 5 PA), entièrement couverts par l’avance de frais effectuée.</w:t>
      </w:r>
    </w:p>
    <w:p>
      <w:r>
        <w:t>- 12 -</w:t>
      </w:r>
    </w:p>
    <w:p>
      <w:r>
        <w:rPr>
          <w:b/>
        </w:rPr>
        <w:t>E. 7</w:t>
      </w:r>
    </w:p>
    <w:p>
      <w:r>
        <w:t>ch. 1 et 8 CBI (AFT 129 II 97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