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RR.2017.257 vom 28. November 2017</w:t>
      </w:r>
    </w:p>
    <w:p>
      <w:r>
        <w:t>Bundesstrafgericht, 2017-11-28, DE</w:t>
      </w:r>
    </w:p>
    <w:p>
      <w:r>
        <w:rPr>
          <w:b/>
        </w:rPr>
        <w:t xml:space="preserve">Quelle: </w:t>
      </w:r>
      <w:r>
        <w:t>https://mcp.opencaselaw.ch/entscheid/bstger_RR.2017.257</w:t>
      </w:r>
    </w:p>
    <w:p>
      <w:r>
        <w:t>FR: TPF RR.2017.257 du 28 novembre 2017</w:t>
      </w:r>
    </w:p>
    <w:p>
      <w:r>
        <w:t>IT: TPF RR.2017.257 del 28 novembre 2017</w:t>
      </w:r>
    </w:p>
    <w:p>
      <w:pPr>
        <w:pStyle w:val="Heading2"/>
      </w:pPr>
      <w:r>
        <w:t>Regeste</w:t>
      </w:r>
    </w:p>
    <w:p>
      <w:r>
        <w:t>Auslieferung an Deutschland. Auslieferungsentscheid (Art. 55 IRSG). Akzessorisches Haftentlassungsgesuch. Unentgeltliche Rechtspflege (Art. 65 Abs. 1 und 2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der Vertrag vom 13. November 1969 zwischen der Schweizerischen Eidgenossenschaft und der Bundesrepublik Deutschland über die Ergänzung des EAUe und die Erleichterung seiner Anwendung (ZV EAUe; SR 0.353.913.61) sowie das Schengener Durchführungsüberein- kommen vom 14. Juni 1985 (SDÜ; ABl. L 239 vom 22. September 2000, S. 19-62) i.V.m. dem Beschluss des Rates über die Einrichtung, den Betrieb und die Nutzung des SIS der zweiten Generation (SIS II), namentlich Art. 26- 31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w:t>
      </w:r>
    </w:p>
    <w:p>
      <w:r>
        <w:t>- 4 -</w:t>
      </w:r>
    </w:p>
    <w:p>
      <w:r>
        <w:t>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Ziff. 1 StBOG), wenn das IRSG nichts anderes bestimmt (siehe Art. 12 Abs. 1 IRSG).</w:t>
      </w:r>
    </w:p>
    <w:p>
      <w:r>
        <w:rPr>
          <w:b/>
        </w:rPr>
        <w:t>E. 2</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3.1</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w:t>
      </w:r>
    </w:p>
    <w:p>
      <w:r>
        <w:rPr>
          <w:b/>
        </w:rPr>
        <w:t>E. 3.2</w:t>
      </w:r>
    </w:p>
    <w:p>
      <w:r>
        <w:t>Als Verfolgter (vgl. Art. 11 Abs. 1 IRSG) ist der Beschwerdeführer zur Einrei- chung des innert Frist eingegangenen Rechtsmittels legitimiert. Auf die Be- schwerde ist damit einzutreten.</w:t>
      </w:r>
    </w:p>
    <w:p>
      <w:r>
        <w:t>- 5 -</w:t>
      </w:r>
    </w:p>
    <w:p>
      <w:r>
        <w:rPr>
          <w:b/>
        </w:rPr>
        <w:t>E. 4.1</w:t>
      </w:r>
    </w:p>
    <w:p>
      <w:r>
        <w:t>Nach Massgabe des EAUe sind die Vertragsparteien grundsätzlich verpflich- tet, einander Personen auszuliefern, die von den Justizbehörden des ersu- chenden Staates wegen einer strafbaren Handlung verfolgt oder zur Voll- streckung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(Art. 2 Ziff. 1 EAUe). Ist im Hoheitsgebiet des ersuchen- den Staates eine Verurteilung zu einer Freiheitsstrafe erfolgt, so muss deren Mass mindestens vier Monate (Art. 2 Ziff. 1 EAUe) bzw. 3 Monate gemäss Art. II Abs. 1 Zusatzvertrag betragen. Massgebend ist die ausgesprochene Strafe, nicht die Dauer des noch zu verbüssenden Strafrestes (Urteil des Bundesgerichts 1A.103/1988 vom 8. August 1988, E. 1b mit Hinweisen).</w:t>
      </w:r>
    </w:p>
    <w:p>
      <w:r>
        <w:rPr>
          <w:b/>
        </w:rPr>
        <w:t>E. 4.2</w:t>
      </w:r>
    </w:p>
    <w:p>
      <w:r>
        <w:t>Der Beschwerdeführer bestreitet die Dauer von 938 Tagen Reststrafe aus dem Urteil des Landgerichts Nürnberg-Fürth vom 8. April 2013 nicht. Er ist jedoch der Ansicht, dass die Reststrafe zur Bewährung ausgesetzt worden sei, weshalb diese nicht vollzogen werden müsse. Es liege kein Entscheid vor, der unter ordentlicher Beteiligung des Beschwerdeführers, insbeson- dere unter Berücksichtigung von Art. 6 EMRK, zustande gekommen sei, wo- nach der Strafrest zu vollziehen sei. Die Auslieferung sei in analoger Anwen- dung von Art. 37 IRSG und Art. 3 Ziff. 1 2. ZP abzulehnen (act. 1 S. 4 ff.).</w:t>
      </w:r>
    </w:p>
    <w:p>
      <w:r>
        <w:rPr>
          <w:b/>
        </w:rPr>
        <w:t>E. 4.3</w:t>
      </w:r>
    </w:p>
    <w:p>
      <w:r>
        <w:t>Der Beschwerdeführer wurde mit Urteil des Landgerichts Nürnberg-Fürth vom 8. April 2013 zu einer Gesamtfreiheitsstrafe von 5 Jahren und 3 Mona- ten verurteilt, wobei er an den diesem Urteil vorangehenden Strafverhand- lungen anwesend und anwaltlich vertreten war (Beilagen 6B zu act. 4.6). Der Beschwerdeführer ist eigenen Angaben gemäss nach Verbüssung von zwei Dritteln der Strafe nach Holland „weggelaufen“ (act. 4.7, S. 3). Dem Vollstre- ckungshaftbefehl ist sodann zu entnehmen, dass der Beschwerdeführer flüchtig sei. Es ist daher anzunehmen, dass der Beschwerdeführer gegen die von den deutschen Behörden angeordneten Bewährungsauflagen verstossen hat.</w:t>
      </w:r>
    </w:p>
    <w:p>
      <w:r>
        <w:rPr>
          <w:b/>
        </w:rPr>
        <w:t>E. 4.4</w:t>
      </w:r>
    </w:p>
    <w:p>
      <w:r>
        <w:t>Der Verfolgte hat grundsätzlich Anspruch darauf, in seiner Anwesenheit ver- urteilt zu werden (Art. 6 der Europäischen Menschenrechtskonvention, EMRK, SR 0.101; Art. 14 des Internationalen Pakts über bürgerliche und po- litische Rechte, UNO-Pakt II; SR 0.103.2). In strafrechtlichen Angelegenhei- ten kommt Art. 6 EMRK in Verfahren zur Anwendung, in welchen “über die Stichhaltigkeit der gegen eine Person erhobenen strafrechtlichen Anklage“</w:t>
      </w:r>
    </w:p>
    <w:p>
      <w:r>
        <w:t>- 6 -</w:t>
      </w:r>
    </w:p>
    <w:p>
      <w:r>
        <w:t>entschieden wird. Entscheidungen, welche erst nach Rechtskraft der Verur- teilung anfallen, betreffen nicht mehr die Stichhaltigkeit der Anklage. Dies gilt etwa für Verfahren, welche den Widerruf der Strafaussetzung oder die Straf- vollstreckung zum Gegenstand haben (GOLLWITZER, Menschenrechte im Strafverfahren MRK und IPBPR, Berlin 2005, Art. 6 EMRK N. 41 m.w.H.). Auch Art. 3 Ziff. 1 ZPII EAUe bezieht sich gemäss dem diesbezüglich klaren Wortlaut nur auf das dem Strafurteil vorangehende Verfahren (vgl. die Ent- scheide des Bundesstrafgerichts RR.2016.264 vom 28. April 2017, E. 3.7; RR.2011.208 vom</w:t>
      </w:r>
    </w:p>
    <w:p>
      <w:r>
        <w:rPr>
          <w:b/>
        </w:rPr>
        <w:t>E. 8</w:t>
      </w:r>
    </w:p>
    <w:p>
      <w:r>
        <w:t>November 2011, E. 5.2; RR.2008.64 vom 22. Mai 2008, E. 4.5; RR.2007.172 vom 29. November 2007, E. 3.4). Die Voraussetzungen und das Verfahren des Widerrufs der bedingten Entlas- sung richten sich nach dem Recht des ersuchenden Staates, welches von der schweizerischen Rechtshilfebehörde grundsätzlich keiner Überprüfung zu unterziehen ist. Insbesondere ist nicht zu prüfen, ob im betreffenden deut- schen Vollzugsverfahren allenfalls prozessuale Rechte des Beschwerdefüh- rers nach deutscher StPO missachtet worden sein könnten (vgl. hierzu das Urteil des Bundesgerichts 1A.287/2003 vom 23. Januar 2004, E. 3.2 und den Entscheid des Bundesstrafgerichts RR.2011.208 vom 8. November 2011, E. 5.2 m.w.H.).</w:t>
      </w:r>
    </w:p>
    <w:p>
      <w:r>
        <w:t>5. 5.1 Der Beschwerdeführer rügt sodann, das Auslieferungsersuchen sei unvoll- ständig, weil aus der Begründung mit keinem Wort zu entnehmen sei, welche Behörde, wann und unter welchen Umständen den Widerruf der ausgesetz- ten Restfreiheitsstrafe verfügt habe (act. 1 S. 8 ff.).</w:t>
      </w:r>
    </w:p>
    <w:p>
      <w:r>
        <w:t>5.2 Das Auslieferungsersuchen hat namentlich eine Darstellung der Handlun- gen, derentwegen um Auslieferung ersucht wird, zu enthalten. Zeit und Ort ihrer Begehung sowie ihre rechtliche Würdigung unter Bezugnahme auf die anwendbaren Gesetzesbestimmungen sind so genau wie möglich anzuge- ben (Art. 12 Ziff. 2 lit. b EAUe; vgl. auch Art. 28 Abs. 2 und 3 IRSG i.V.m. Art. 10 IRSV). Dem Auslieferungsersuchen im Hinblick auf die Vollstreckung einer Strafe ist die Urschrift oder eine als amtlich richtig bescheinigte Wie- dergabe eines vollstreckbaren Strafentscheids beizulegen (vgl. Art. 12 Ziff. 2 lit. a EAUe; Art. 38 Abs. 1 lit. d und Art. 41 IRSG).</w:t>
      </w:r>
    </w:p>
    <w:p>
      <w:r>
        <w:t>5.3 Zusammen mit dem Auslieferungsersuchen vom 8. Juni 2017 reichten die deutschen Behörden eine beglaubigte Ablichtung des Urteils des Landge- richts Nürnberg Fürth vom 8. April 2013 ein. Ebenso liegt dem Auslieferungs- ersuchen eine beglaubigte Kopie des Vollstreckungshaftbefehls der Staats- anwaltschaft Nürnberg-Fürth vom 21. Dezember 2015 bei, wonach der Be- schwerdeführer aus dem genannten Urteil des Landgerichts Nürnberg-Fürth</w:t>
      </w:r>
    </w:p>
    <w:p>
      <w:r>
        <w:t>- 7 -</w:t>
      </w:r>
    </w:p>
    <w:p>
      <w:r>
        <w:t>eine Restfreiheitsstrafe von 938 Tagen aus der erwähnten Gesamtfreiheits- strafe von 5 Jahren und 3 Monaten zu verbüssen habe (Beilage 6A zu act. 4.6). Sowohl das Urteil des Landgerichts Nürnberg-Fürth vom 8. Ap- ril 2013 wie auch der Vollstreckungshaftbefehl vom 21. Dezember 2015 seien rechtskräftig (Beilage 6C zu act. 4.6). Zwar liegt dem Auslieferungser- suchen ein gerichtlicher Widerrufsbeschluss nicht bei. Der Beschwerdefüh- rer war aber anlässlich seiner Einvernahme vom 14. Juni 2017 ohne Weite- res in der Lage, die Gründe für diesen Widerruf auszumachen. Es besteht daher kein Anlass, an den Ausführungen der deutschen Behörden zu zwei- feln. Das Auslieferungsersuchen wird damit den Anforderungen an eine ge- nügende Substantiierung gerecht und ist mit Art. 12 EAUe vereinbar.</w:t>
      </w:r>
    </w:p>
    <w:p>
      <w:r>
        <w:t>6. Andere Gründe, welche einer Auslieferung entgegenstehen könnten, sind weder ersichtlich noch werden solche geltend gemacht. Die Beschwerde ist nach dem Gesagten als offensichtlich unbegründet abzuweisen.</w:t>
      </w:r>
    </w:p>
    <w:p>
      <w:r>
        <w:t>7. 7.1 Der Beschwerdeführer beantragt seine Entlassung aus der Auslieferungs- haft (act. 1 S. 2 und 9).</w:t>
      </w:r>
    </w:p>
    <w:p>
      <w:r>
        <w:t>7.2 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Art. 28 Abs. 1 lit. e Ziff. 1 SGG). Die Beschwerdekammer kann aus- nahmsweise im Zusammenhang mit einer Beschwerde gegen einen Auslie- ferungsentscheid in erster Instanz über ein Haftentlassungsgesuch befinden, wenn sich aus einer allfälligen Verweigerung der Auslieferung als unmittel- bare Folge auch die Entlassung aus der Auslieferungshaft ergibt und das Haftentlassungsgesuch insofern rein akzessorischer Natur ist (Urteil des Bundesgerichts 1A.13/2007 vom 9. März 2007, E. 1.2; Entscheid des Bun- desstrafgerichts RR.2008.59 vom 19. Juni 2008, E. 2.2). Der vorliegende Antrag ist demnach als akzessorisches Haftentlassungsgesuch zu betrach- ten. Die Auslieferung des Beschwerdeführers kann gewährt werden (vgl. oben E. 6), weshalb das akzessorische Haftentlassungsgesuch des Be- schwerdeführers abzuweisen ist.</w:t>
      </w:r>
    </w:p>
    <w:p>
      <w:r>
        <w:t>- 8 -</w:t>
      </w:r>
    </w:p>
    <w:p>
      <w:r>
        <w:rPr>
          <w:b/>
        </w:rPr>
        <w:t>E. 8.1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8.2</w:t>
      </w:r>
    </w:p>
    <w:p>
      <w:r>
        <w:t>Nach dem oben Ausgeführten muss die vorliegende Beschwerde als aus- sichtslos bezeichnet werden. Im Wesentlichen handelte es sich hierbei um Vorbringen, mit welchen sich der Beschwerdegegner im Rahmen seines Ent- scheides in überzeugender Weise auseinandergesetzt hat, ohne zu jeglicher Kritik Anlass zu geben. Allein aus diesem Grund ist das Gesuch um unent- geltliche Rechtspflege abzuweisen. Bei der Festsetzung der Gerichtsgebühr kann gemäss Art. 63 Abs. 4bis VwVG der womöglich schwierigen finanziellen Situation des Beschwerdeführers Rechnung getragen werden.</w:t>
      </w:r>
    </w:p>
    <w:p>
      <w:r>
        <w:rPr>
          <w:b/>
        </w:rPr>
        <w:t>E. 9</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