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RR.2017.254 vom 5. Dezember 2017</w:t>
      </w:r>
    </w:p>
    <w:p>
      <w:r>
        <w:t>Bundesstrafgericht, 2017-12-05, FR</w:t>
      </w:r>
    </w:p>
    <w:p>
      <w:r>
        <w:rPr>
          <w:b/>
        </w:rPr>
        <w:t xml:space="preserve">Quelle: </w:t>
      </w:r>
      <w:r>
        <w:t>https://mcp.opencaselaw.ch/entscheid/bstger_RR.2017.254</w:t>
      </w:r>
    </w:p>
    <w:p>
      <w:r>
        <w:t>FR: TPF RR.2017.254 du 5 décembre 2017</w:t>
      </w:r>
    </w:p>
    <w:p>
      <w:r>
        <w:t>IT: TPF RR.2017.254 del 5 dicembre 2017</w:t>
      </w:r>
    </w:p>
    <w:p>
      <w:pPr>
        <w:pStyle w:val="Heading2"/>
      </w:pPr>
      <w:r>
        <w:t>Regeste</w:t>
      </w:r>
    </w:p>
    <w:p>
      <w:r>
        <w:t>Entraide judiciaire inernationale en matière pénale à la France. Remise de moyens de preuve (art. 74 EIMP). Saisie conservatoire (art. 33a OEIMP).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 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 cation des produits du crime (CBI; RS 0.311.53), entrée en vigueur le 11 sep- tembre 1993 pour la Suisse et le 1er février 1997 pour la France. Les art. 48 ss de la Convention d’application de l’Accord de Schengen du 14 juin 1985 (CAAS; n° CELEX 42000A0922[22]; Journal officiel de l’Union euro- péenne L 239 du 22 septembre 2000, p. 19-62) s’appliquent également à l’entraide pénale entre la Suisse et la France (cf. arrêt du Tribunal pénal fé- déral RR.2008.98 du 18 décembre 2008 consid. 1.3). Dans les relations d’entraide avec la République française, les dispositions pertinentes de l’Ac- cord de coopération entre la Confédération suisse, d’une part, et la Commu- nauté européenne et ses Etats membres, d’autre part, pour lutter contre la fraude et toute autre activité illégale portant atteinte à leurs intérêts financiers (ci-après: Accord anti-fraude; RS 0.351.926.81; cf. également FF 2004 5807 à 5827 et 6127 ss) sont également applicables. En effet, bien qu’il ne soit pas encore en vigueur, en vertu de son art. 44 al. 3, l’Accord anti-fraude est applicable entre ces deux Etats à compter du 8 avril 2009. 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 ditions plus favorables (ATF 142 IV 250 consid. 3; 140 IV 123 consid. 2; 137 IV 33 consid. 2.2.2; 136 IV 82 consid. 3.1; 130 II 337 consid. 1; 124 II 180 consid. 1a). Le respect des droits fondamentaux est réservé (ATF 135 IV 212 consid. 2.3; 123 II 595 consid. 7c p. 617).</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w:t>
      </w:r>
    </w:p>
    <w:p>
      <w:r>
        <w:t>- 4 -</w:t>
      </w:r>
    </w:p>
    <w:p>
      <w:r>
        <w:t>mis en relation avec l’art. 37 al. 2 let. a ch. 1 de la loi fédérale sur l’organisa- tion des autorités pénales de la Confédération [LOAP; RS 173.71]).</w:t>
      </w:r>
    </w:p>
    <w:p>
      <w:r>
        <w:rPr>
          <w:b/>
        </w:rPr>
        <w:t>E. 1.3</w:t>
      </w:r>
    </w:p>
    <w:p>
      <w:r>
        <w:t>En tant que titulaire du compte visé par les mesures ordonnées, la recou- rante a la qualité pour recourir contre la transmission à l’autorité requérante d’informations relatives à ce compte et contre la saisie frappant les avoirs y déposés (art. 80h let. b et 80e al. 1 EIMP mis en relation avec l’art. 9a let. a OEIMP; arrêt du Tribunal pénal fédéral RR.2007.110 du 16 novembre 2007, consid. 1.3). Formé dans le délai de 30 jours à compter de la communication écrite de la décision querellée, le recours est recevable (art. 80k EIMP).</w:t>
      </w:r>
    </w:p>
    <w:p>
      <w:r>
        <w:rPr>
          <w:b/>
        </w:rPr>
        <w:t>E. 1.4</w:t>
      </w:r>
    </w:p>
    <w:p>
      <w:r>
        <w:t>Au vu de ce qui précède, il y a lieu d’entrer en matière.</w:t>
      </w:r>
    </w:p>
    <w:p>
      <w:r>
        <w:rPr>
          <w:b/>
        </w:rPr>
        <w:t>E. 2.1</w:t>
      </w:r>
    </w:p>
    <w:p>
      <w:r>
        <w:t>Dans un premier moyen, la recourante dénonce une violation du principe de la double incrimination. Les reproches adressés par l'autorité requérante à B. reposeraient intégralement sur un état de fait inexact. De surcroît, ces faits, transposés en droit suisse, ne seraient pas constitutifs d'escroquerie, contrairement à ce qu'a retenu l'autorité d'exécution, car l'élément constitutif de l'astuce ne serait pas réalisé.</w:t>
      </w:r>
    </w:p>
    <w:p>
      <w:r>
        <w:rPr>
          <w:b/>
        </w:rPr>
        <w:t>E. 2.2.1</w:t>
      </w:r>
    </w:p>
    <w:p>
      <w:r>
        <w:t>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 blies (ATF 126 II 495 consid. 5e/aa p. 501; 118 Ib 111 consid. 5b; arrêt du Tribunal pénal fédéral RR.2014.75-76 du 5 septembre 2014 consid. 5.2).</w:t>
      </w:r>
    </w:p>
    <w:p>
      <w:r>
        <w:rPr>
          <w:b/>
        </w:rPr>
        <w:t>E. 2.2.2</w:t>
      </w:r>
    </w:p>
    <w:p>
      <w:r>
        <w:t>La recourante se contente d'affirmer que les faits décrits dans la demande d'entraide seraient en contradiction avec ceux retenus dans des jugements entrés en force, rendus par le Tribunal de Commerce et la Cour d'appel de Paris; elle ne produit aucune pièce à l'appui de cette allégation. Partant, faute pour l'intéressée d'avancer le moindre élément concret à l'appui de cette allégation, les réquisits posés par la jurisprudence précitée ne sont pas rem- plis.</w:t>
      </w:r>
    </w:p>
    <w:p>
      <w:r>
        <w:rPr>
          <w:b/>
        </w:rPr>
        <w:t>E. 2.3.1</w:t>
      </w:r>
    </w:p>
    <w:p>
      <w:r>
        <w:t>Contrairement à ce qui prévaut en matière d'extradition, il n'est pas néces- saire, en matière de "petite entraide", que la condition de la double incrimi- nation soit réalisée pour chacun des chefs à raison desquels les prévenus</w:t>
      </w:r>
    </w:p>
    <w:p>
      <w:r>
        <w:t>- 5 -</w:t>
      </w:r>
    </w:p>
    <w:p>
      <w:r>
        <w:t>sont poursuivis dans l'Etat requérant (ATF 125 II 569 consid. 6; arrêts du Tribunal fédéral 1C_138/2007 du 17 juillet 2007, consid. 2.3.2; 1A.212/2001 du 21 mars 2002, consid. 7).</w:t>
      </w:r>
    </w:p>
    <w:p>
      <w:r>
        <w:rPr>
          <w:b/>
        </w:rPr>
        <w:t>E. 2.3.2</w:t>
      </w:r>
    </w:p>
    <w:p>
      <w:r>
        <w:t>En l'espèce, le MP-VS a retenu à juste titre que les faits décrits par l'autorité requérante étaient constitutifs non seulement d'escroquerie, au sens de l'art. 146 CP, mais aussi de faux dans les titres, au sens de l'art. 251 CP. Dès lors que la recourante ne conteste pas la décision entreprise sur ce der- nier point, le grief tiré d'une absence de double incrimination doit être rejetée au vu des principes qui viennent d'être exposés.</w:t>
      </w:r>
    </w:p>
    <w:p>
      <w:r>
        <w:rPr>
          <w:b/>
        </w:rPr>
        <w:t>E. 2.3.3</w:t>
      </w:r>
    </w:p>
    <w:p>
      <w:r>
        <w:t>Il s'ensuit que le premier grief soulevé est mal fondé.</w:t>
      </w:r>
    </w:p>
    <w:p>
      <w:r>
        <w:rPr>
          <w:b/>
        </w:rPr>
        <w:t>E. 3.1</w:t>
      </w:r>
    </w:p>
    <w:p>
      <w:r>
        <w:t>Dans une deuxième série de griefs, la recourante se plaint d'une violation du principe de proportionnalité. Le compte bancaire litigieux, respectivement les fonds qui y sont abrités, ne présenterait pas de liens avec l'enquête menée par l'autorité requérante. Il s'en suivrait, notamment, que les fonds en ques- tion ne sont pas susceptibles d'être remis à l'Etat requérant aux fins de con- fiscation.</w:t>
      </w:r>
    </w:p>
    <w:p>
      <w:r>
        <w:rPr>
          <w:b/>
        </w:rPr>
        <w:t>E. 3.2</w:t>
      </w:r>
    </w:p>
    <w:p>
      <w:r>
        <w:t>La question de savoir si les renseignements demandés sont nécessaires ou simplement utiles à la procédure pénale est en principe laissée à l'apprécia- tion des autorités de poursuite de l'Etat requérant. L'Etat requis ne disposant généralement pas des moyens qui lui permettraient de se prononcer sur l'op- 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 tion poursuivie et impropres à faire progresser l'enquête, de sorte que la de- mande apparaît comme le prétexte à une recherche indéterminée de moyens de preuve (ATF 136 IV 82 consid. 4.1 p. 86;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 prétation large est admissible s'il est établi que toutes les conditions à l'octroi de l'entraide sont remplies; ce mode de procéder permet d'éviter d'éven- tuelles demandes complémentaires (ATF 121 II 241 consid. 3a; arrêt du Tri- bunal pénal fédéral RR.2009.286-287 du 10 février 2010, consid. 4.1). Selon la jurisprudence, le principe de l'utilité potentielle joue un rôle crucial dans</w:t>
      </w:r>
    </w:p>
    <w:p>
      <w:r>
        <w:t>- 6 -</w:t>
      </w:r>
    </w:p>
    <w:p>
      <w:r>
        <w:t>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 ment d'aider l'Etat requérant à prouver des faits révélés par l'enquête qu'il conduit, mais d'en dévoiler d'autres, s'ils existent. Il en découle, pour l'auto- rité d'exécution, un devoir d'exhaustivité, qui justifie de communiquer tous les éléments qu'elle a réunis, propres à servir l'enquête étrangère, afin d'éclairer dans tous ses aspects les rouages du mécanisme délictueux pour- suivi dans l'Etat requérant (arrêts du Tribunal pénal fédéral RR.2010.173 du 13 octobre 2010, consid. 4.2.4/a et RR.2009.320 du 2 février 2010, con- sid. 4.1; ZIMMERMANN, La coopération judiciaire en matière pénale, 4e éd., 2014, Berne, n° 723 s.). Le recourant qui entend contester la transmission, est tenu d'expliquer pièce par pièce les arguments à l'encontre de la trans- mission et d'étayer ses assertions avec soin (ATF 126 II 258 consid. 9c; arrêt du Tribunal fédéral 1A.228/2006 du 11 décembre 2006, consid. 3.2; ZIMMER- MANN, op. cit., n° 724).</w:t>
      </w:r>
    </w:p>
    <w:p>
      <w:r>
        <w:rPr>
          <w:b/>
        </w:rPr>
        <w:t>E. 3.3</w:t>
      </w:r>
    </w:p>
    <w:p>
      <w:r>
        <w:t>L'autorité requérante a indiqué que le montant de EUR 2'371'604.-- encourait la confiscation, au titre de produit direct ou indirect de l'infraction, et que tout ou partie de celui-ci avait fait l'objet d'un versement sur le compte bancaire litigieux – dont on rappellera qu'il est détenu par une société que contrôle B. (dossier du MP-VS, p. 9). Dans ces conditions, et dès lors que la recourante ne produit aucun moyen de preuve démontrant que lesdites affirmations sont manifestement erronées (cf. supra consid. 2.2.1), force est de constater que le compte bancaire litigieux présente des liens étroits avec le mécanisme délictueux décrit et que la confiscation du montant séquestré ne saurait être exclue à ce stade. Au vu des principes exposés ci-dessus (consid. 3.2), la deuxième série de griefs soulevée est donc mal fondée.</w:t>
      </w:r>
    </w:p>
    <w:p>
      <w:r>
        <w:rPr>
          <w:b/>
        </w:rPr>
        <w:t>E. 4</w:t>
      </w:r>
    </w:p>
    <w:p>
      <w:r>
        <w:t>Il s'ensuit que la remise à l'Etat requérant de la documentation bancaire liti- gieuse, ainsi que le maintien du séquestre, ordonnés dans l'acte entrepris, sont conformes au droit. C'est le lieu de préciser qu'aux termes de l'art. 33a OEIMP, les objets et valeurs dont la remise à l'Etat requérant est subordon- 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notamment en raison de la prescription.</w:t>
      </w:r>
    </w:p>
    <w:p>
      <w:r>
        <w:t>- 7 -</w:t>
      </w:r>
    </w:p>
    <w:p>
      <w:r>
        <w:rPr>
          <w:b/>
        </w:rPr>
        <w:t>E. 5</w:t>
      </w:r>
    </w:p>
    <w:p>
      <w:r>
        <w:t>Les considérations qui précèdent conduisent au rejet du recours.</w:t>
      </w:r>
    </w:p>
    <w:p>
      <w:r>
        <w:rPr>
          <w:b/>
        </w:rPr>
        <w:t>E. 6</w:t>
      </w:r>
    </w:p>
    <w:p>
      <w:r>
        <w:t>En règle générale, les frais de procédure comprenant l'émolument d'arrêté, les émoluments de chancellerie et les débours sont mis à la charge des par- ties qui succombent (art. 63 al. 1 de la loi fédérale sur la procédure adminis- trative [PA; RS 172.021]). Le montant de l'émolument est calculé en fonction de l'ampleur et de la difficulté de la cause, de la façon de procéder des par- ties, de leur situation financière et des frais de chancellerie (art. 73 al. 2 LOAP). La recourante supportera ainsi les frais du présent arrêt, lesquels sont fixés à CHF 6'000.-- (art. 73 al. 2 LOAP, art. 8 al. 3 du règlement du Tribunal pénal fédéral sur les frais, émoluments, dépens, et indemnités de la procédure pénale fédérale [RFPPF; RS 173.713.162] et art. 63 al. 5 PA), montant entièrement couvert par l'avance de frais déjà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