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RR.2017.238 vom 21. Februar 2018</w:t>
      </w:r>
    </w:p>
    <w:p>
      <w:r>
        <w:t>Bundesstrafgericht, 2018-02-21, DE</w:t>
      </w:r>
    </w:p>
    <w:p>
      <w:r>
        <w:rPr>
          <w:b/>
        </w:rPr>
        <w:t xml:space="preserve">Quelle: </w:t>
      </w:r>
      <w:r>
        <w:t>https://mcp.opencaselaw.ch/entscheid/bstger_RR.2017.238</w:t>
      </w:r>
    </w:p>
    <w:p>
      <w:r>
        <w:t>FR: TPF RR.2017.238 du 21 février 2018</w:t>
      </w:r>
    </w:p>
    <w:p>
      <w:r>
        <w:t>IT: TPF RR.2017.238 del 21 febbraio 2018</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ist das Bundesgesetz vom 20. März 1981 über interna- 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t>- 5 -</w:t>
      </w:r>
    </w:p>
    <w:p>
      <w:r>
        <w:rPr>
          <w:b/>
        </w:rPr>
        <w:t>E. 2.1</w:t>
      </w:r>
    </w:p>
    <w:p>
      <w:r>
        <w:t>Die Schlussverfügung der ausführenden Bundesbehörde unterliegt der Be- schwerde an die Beschwerdekammer des Bundesstrafgerichts (Art. 80e Abs. 1 IRSG). Zur Beschwerdeführung ist berechtigt, wer persönlich und di- rekt von einer Rechtshilfemassnahme betroffen ist und ein schutzwürdiges Interesse an deren Aufhebung oder Änderung hat (Art. 80h lit. b IRSG).</w:t>
      </w:r>
    </w:p>
    <w:p>
      <w:r>
        <w:t>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 schaft Berechtigte sind nur in Ausnahmefällen selbständig beschwerdelegi- timiert. Dies kann etwa der Fall sein, wenn eine juristische Person, über de- ren Konto Auskunft verlangt wird, nicht mehr besteht (BGE 123 II 153 E. 2c- d S. 157 f.). Die Beweislast für die wirtschaftliche Berechtigung und die Li- quidation der Gesellschaft obliegt dem Rechtsuchenden. Ausserdem darf die Auflösung der Gesellschaft nicht nur vorgeschoben oder rechtsmissbräuch- lich erscheinen (BGE 137 IV 134 E. 5.2.1; 123 II 153 E. 2d S.157 f.). Darüber hinaus muss der wirtschaftlich Berechtigte im Auflösungsakt eindeutig als Begünstigter des Liquidationsgewinns bezeichnet sein (Urteile des Bundes- gerichts 1C_183/2012 vom 12. April 2012, E. 1.5; 1C_161/2011 vom 11. Ap- ril 2011, E. 1.3; 1A.284/2003 vom 11. Februar 2004, E. 1; 1A.212/2001 vom 21. März 2002 E. 1.3.2; 1A.84/1999 vom 31. Mai 1999, E. 2c; Entscheid des Bundesstrafgerichts RR.2009.151 vom 11. September 2009, E. 1.3.2). Der Beweis des Zuflusses des Liquidationserlöses der aufgelösten Gesellschaft an den wirtschaftlich Berechtigten kann auch anders als mit der Bescheini- gung über die Auflösung erbracht werden (Urteil des Bundesgerichts 1C_370/2012 vom 3. Oktober 2012, E. 2.7).</w:t>
      </w:r>
    </w:p>
    <w:p>
      <w:r>
        <w:rPr>
          <w:b/>
        </w:rPr>
        <w:t>E. 2.2</w:t>
      </w:r>
    </w:p>
    <w:p>
      <w:r>
        <w:t>Die angefochtene Rechtshilfemassnahme betrifft zwei von der Bank B. ge- führte Konten, die auf die H. Ltd. und die I. Inc. lauteten und im Septem- ber 2012 bzw. Mai 2014 geschlossen wurden. Zum Zeitpunkt der Konto- schliessungen wiesen die Konten keine Guthaben mehr auf (Verfahrensak- ten BA pag. 7-101-003-01-E-0001 = act. 1.8/3 und act. 1.9). Die Beschwer- deführerin macht geltend, die H. Ltd. sei am 18. Mai 2010 aufgelöst worden. Der Saldo des Kontos der H. Ltd. (Konto Nr. 2) sei bereits am 17. April 2009 auf das Konto Nr. 4, lautend auf die I. Inc., überwiesen worden, wobei die Beschwerdeführerin die wirtschaftlich Berechtigte an beiden Konten gewe- sen sei. Am 10. Oktober 2014 sei auch die I. Inc. aufgelöst worden, nachdem deren Konto Nr. 4 am 14. Mai 2014 aufgelöst und der Saldo auf ein persön- liches Konto der Beschwerdeführerin überwiesen worden sei. Die Beschwer- deführerin sei folglich durch die angefochtenen Schlussverfügungen persön- lich und direkt betroffen (act. 1, S. 9). Sie verweist dabei auf entsprechende</w:t>
      </w:r>
    </w:p>
    <w:p>
      <w:r>
        <w:t>- 6 -</w:t>
      </w:r>
    </w:p>
    <w:p>
      <w:r>
        <w:t>Erklärungen, namentlich ein Schreiben vom 18. Juli 2017 der J. Ltd. (Nomi- nee Shareholder) und K. Limited (Nominee Shareholder) („Confirmation Let- ter regarding H. Ltd. given on the 18th July, 2017“), wonach die H. Ltd. am 18. Mai 2010 aufgelöst worden („was dissolved“) und am Tag der Auflösung die Beschwerdeführerin die einzige wirtschaftlich Berechtigte der H. Ltd. ge- wesen sei (act. 1.8/2) sowie den formellen Auflösungsakt der Republik Pa- nama vom 10. Oktober 2014 betreffend die I. Inc. (act. 1.10/1). Weiter legt sie einen Zahlungsbeleg vom 15. April 2009 vor betreffend eine Überweisung von rund EUR 83‘244.-- vom Konto der H. Ltd. auf das Konto der I. Inc. und eine Zahlungsanweisung vom 14. Mai 2014, wonach sämtliche Guthaben auf dem Konto der I. Inc. auf ein persönliches Konto der Beschwerdeführerin zu überweisen seien (act. 1.8/1 und act. 1.9). Die Beschwerdeführerin scheint damit den Zufluss des Liquidationserlöses an sie beweisen zu wol- len. Diesbezüglich ist zunächst festzuhalten, dass der Liquidationserlös der Betrag ist, der nach Auflösung der Gesellschaft und nach Saldierung sämtli- cher Aktiven und Passiven der Gesellschaft, übrig bleibt. Daraus folgt, dass der aus einer Kontosaldierung resultierende Betrag nicht einfach immer und ohne Weiteres mit dem Liquidationserlös einer Gesellschaft gleichgesetzt werden kann. Dies ist nur der Fall, wenn das fragliche Kontoguthaben das einzige Aktivum einer Gesellschaft darstellt. Vorliegend sind nur die obge- nannten Überweisungen vom Konto der H. Ltd. auf das Konto der I. Inc. vom 15. April 2009 und sodann vom Konto der I. Inc. auf das Konto der Beschwer- deführerin vom 14. Mai 2014 nachgewiesen. Ob es sich bei diesen Konto- übertragungen jeweils um den Liquidationserlös der H. Ltd. und der I. Inc. handelt, wird weder geltend gemacht, noch ergibt sich dies aus den Akten. Hinzu kommt, dass die genannten Überweisungen allesamt vor den Gesell- schaftsauflösungen vorgenommen wurden (im Falle der H. Ltd. dreizehn und im Falle der I. Inc. fünf Monate vor der jeweiligen Auflösung), was nicht dafür spricht, dass es sich bei den überwiesenen Guthaben um den jeweiligen Er- lös aus der Liquidation der Gesellschaften handelt (vgl. auch Entscheid der Beschwerdekammer RR.2013.73-76 vom 6. August 2013, E. 1.3.3.). Andere Beweise, wonach die Beschwerdeführerin Begünstige am Liquidationserlös der aufgelösten Gesellschaften ist, werden nicht vorgebracht. Damit ist die Legitimation der Beschwerdeführerin zu verneinen, ohne dass die Frage ge- klärt werden müsste, ob das Bestätigungsschreiben der Treuhand-Aktionäre vom 18. Juli 2017 (“Confirmation Letter regarding H. Ltd. given on the 18th July, 2017“) zum Beweis der Liquidation der H. Ltd. überhaupt genügend wäre.</w:t>
      </w:r>
    </w:p>
    <w:p>
      <w:r>
        <w:rPr>
          <w:b/>
        </w:rPr>
        <w:t>E. 2.3</w:t>
      </w:r>
    </w:p>
    <w:p>
      <w:r>
        <w:t>Nach dem Gesagten ist auf die Beschwerde nicht einzutreten.</w:t>
      </w:r>
    </w:p>
    <w:p>
      <w:r>
        <w:t>- 7 -</w:t>
      </w:r>
    </w:p>
    <w:p>
      <w:r>
        <w:rPr>
          <w:b/>
        </w:rPr>
        <w:t>E. 3</w:t>
      </w:r>
    </w:p>
    <w:p>
      <w:r>
        <w:t>Bei diesem Ausgang des Verfahrens sind die Gerichtskosten der Beschwer- deführerin aufzuerlegen (Art. 63 Abs. 1 VwVG). Die Gerichtsgebühr ist auf Fr. 2‘000.-- festzusetzen (Art. 63 Abs. 5 VwVG i.V.m. Art. 73 StBOG so- wie Art. 5 und Art. 8 Abs. 3 lit. a BStKR), unter Anrechnung des entsprechen- den Betrages am von ihr geleisteten Kostenvorschuss von Fr. 5‘000.--. Die Bundesstrafgerichtskasse wird angewiesen, der Beschwerdeführerin Fr. 3‘000.--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