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RR.2017.237 vom 22. Januar 2018</w:t>
      </w:r>
    </w:p>
    <w:p>
      <w:r>
        <w:t>Bundesstrafgericht, 2018-01-22, FR</w:t>
      </w:r>
    </w:p>
    <w:p>
      <w:r>
        <w:rPr>
          <w:b/>
        </w:rPr>
        <w:t xml:space="preserve">Quelle: </w:t>
      </w:r>
      <w:r>
        <w:t>https://mcp.opencaselaw.ch/entscheid/bstger_RR.2017.237</w:t>
      </w:r>
    </w:p>
    <w:p>
      <w:r>
        <w:t>FR: TPF RR.2017.237 du 22 janvier 2018</w:t>
      </w:r>
    </w:p>
    <w:p>
      <w:r>
        <w:t>IT: TPF RR.2017.237 del 22 gennaio 2018</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1.2</w:t>
      </w:r>
    </w:p>
    <w:p>
      <w:r>
        <w:t>L’EIMP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1.3</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1.4</w:t>
      </w:r>
    </w:p>
    <w:p>
      <w:r>
        <w:t>Interjeté dans le délai de 30 jours dès la notification de la décision attaquée (art. 17c LTEJUS), le recours a été déposé en temps utile.</w:t>
      </w:r>
    </w:p>
    <w:p>
      <w:r>
        <w:rPr>
          <w:b/>
        </w:rPr>
        <w:t>E. 1.5</w:t>
      </w:r>
    </w:p>
    <w:p>
      <w:r>
        <w:t>Selon l’art. 17a LTEJUS, a qualité pour recourir quiconque est personnellement et directement touché par une mesure d’entraide et a un intérêt digne de protection à ce qu’elle soit annulée ou modifiée. Aux termes</w:t>
      </w:r>
    </w:p>
    <w:p>
      <w:r>
        <w:t>- 4 -</w:t>
      </w:r>
    </w:p>
    <w:p>
      <w:r>
        <w:t>de l’art. 9a let. a OEIMP, est notamment réputé personnellement et directement touché, en cas d’informations sur un compte, le titulaire du compte dont les documents font l’objet de la décision de clôture.</w:t>
      </w:r>
    </w:p>
    <w:p>
      <w:r>
        <w:t>En tant que titulaire des relations bancaires visées par la décision querellée, la recourante a qualité pour attaquer celle-ci.</w:t>
      </w:r>
    </w:p>
    <w:p>
      <w:r>
        <w:rPr>
          <w:b/>
        </w:rPr>
        <w:t>E. 1.6</w:t>
      </w:r>
    </w:p>
    <w:p>
      <w:r>
        <w:t>Compte tenu de ce qui précède, il convient d’entrer en matière sur le fond.</w:t>
      </w:r>
    </w:p>
    <w:p>
      <w:r>
        <w:rPr>
          <w:b/>
        </w:rPr>
        <w:t>E. 2.1</w:t>
      </w:r>
    </w:p>
    <w:p>
      <w:r>
        <w:t>Dans un premier grief, la recourante se plaint d’une violation des art. 5 al. 1 let. a EIMP, 3 al. 1 let. b TEJUS et du principe ne bis in idem. Le «Settlement Agreement» équivaudrait à un jugement ayant définitivement réglé le litige entre la recourante et B., empêchant l’OFJ d’accorder l’entraide.</w:t>
      </w:r>
    </w:p>
    <w:p>
      <w:r>
        <w:rPr>
          <w:b/>
        </w:rPr>
        <w:t>E. 2.2</w:t>
      </w:r>
    </w:p>
    <w:p>
      <w:r>
        <w:t>Selon la jurisprudence, à défaut d’un retrait formel de la demande, d’un jugement ou d’une décision mettant définitivement fin à l’action pénale et susceptible de conduire à l’application de l’art. 5 al. 1 let. a EIMP, l’autorité suisse reste retenue d’exécuter la demande dont elle est saisie (arrêt du Tribunal fédéral 1A.267/1999 du 7 janvier 2000 et arrêt du Tribunal pénal fédéral RR.2012.181 du 12 février 2013 consid. 6). Selon l’art. 3 al. 1 let. b TEJUS, l’entraide judiciaire peut être refusée si la demande «vise des faits sur la base desquels la personne a été définitivement acquittée ou condamnée dans l’Etat requis pour une infraction correspondant quant à l’essentiel». Selon le texte conventionnel, la possibilité de refuser l’entraide judiciaire est clairement limitée aux cas où un jugement d’acquittement ou de condamnation a été rendu dans l’Etat requis, et non dans l’Etat requérant (arrêt du Tribunal fédéral 1A.147/2004 du 13 septembre 2004 consid. 4.2). Dans le même considérant, le TF relève que contrairement à ce que soutient la doctrine (ZIMMERMANN, La coopération judiciaire en matière internationale en matière pénale, 2ème éd. 2004, n°430 in fine [4ème éd. 2014, n°665] et les auteurs cités), une interprétation extensive de l’art. 3 al. 1 let. b TEJUS s’oppose au texte clair de la norme: le respect du principe ne bis in idem incombe en premier lieu à l’Etat dans lequel le jugement est rendu, cet Etat étant manifestement plus à même d’en apprécier la portée (arrêt précité consid. 4.2).</w:t>
      </w:r>
    </w:p>
    <w:p>
      <w:r>
        <w:rPr>
          <w:b/>
        </w:rPr>
        <w:t>E. 2.3</w:t>
      </w:r>
    </w:p>
    <w:p>
      <w:r>
        <w:t>En l’espèce, le DOJ a indiqué que le «Settlement Agreement» n’empêchait pas les autorités fédérales américaines de poursuivre la recourante et qu’il maintenait sa demande d’entraide (act. 1.10). Cela est d’autant plus</w:t>
      </w:r>
    </w:p>
    <w:p>
      <w:r>
        <w:t>- 5 -</w:t>
      </w:r>
    </w:p>
    <w:p>
      <w:r>
        <w:t>compréhensible que le «Settlement Agreement» a été conclu devant le «State Court», autorité de première instance de l’Etat de New-York. Dès lors, c’est à juste titre que l’OFJ a décidé de privilégier la version de l’autorité requérante, en vertu du TEJUS ainsi que du principe de la bonne foi entre Etats. Cette solution étant d’autant plus appropriée que, comme le relève ledit Office, il est douteux que, sous l’ange du principe ne bis in idem, le «Settlement Agreement» puisse être assimilé à un acquittement ou une condamnation définitive au sens de l’art. 3 par. 1 let. b TEJUS (act. 1.2, p. 3).</w:t>
      </w:r>
    </w:p>
    <w:p>
      <w:r>
        <w:rPr>
          <w:b/>
        </w:rPr>
        <w:t>E. 2.4</w:t>
      </w:r>
    </w:p>
    <w:p>
      <w:r>
        <w:t>Au vu de la jurisprudence précitée, la décision de l’OFJ ne prête pas le flanc à la critique. En ce qui concerne la jurisprudence newyorkaise citée par la recourante, elle n’a pas à être analysée par l’autorité de l’entraide, s’agissant de l’appréciation du droit de fond de l’Etat requérant.</w:t>
      </w:r>
    </w:p>
    <w:p>
      <w:r>
        <w:rPr>
          <w:b/>
        </w:rPr>
        <w:t>E. 2.5</w:t>
      </w:r>
    </w:p>
    <w:p>
      <w:r>
        <w:t>Ce grief doit dès lors être rejeté.</w:t>
      </w:r>
    </w:p>
    <w:p>
      <w:r>
        <w:rPr>
          <w:b/>
        </w:rPr>
        <w:t>E. 3.1</w:t>
      </w:r>
    </w:p>
    <w:p>
      <w:r>
        <w:t>Dans un deuxième grief, la recourante se plaint d’une violation du principe de la proportionnalité. Les informations bancaires faisant l’objet de la décision de clôture ne présenteraient pas de lien avec l’enquête menée par les autorités américaines.</w:t>
      </w:r>
    </w:p>
    <w:p>
      <w:r>
        <w:rPr>
          <w:b/>
        </w:rPr>
        <w:t>E. 3.2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w:t>
      </w:r>
    </w:p>
    <w:p>
      <w:r>
        <w:t>- 6 -</w:t>
      </w:r>
    </w:p>
    <w:p>
      <w:r>
        <w:t>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2014, n°723, p. 748 s.).</w:t>
      </w:r>
    </w:p>
    <w:p>
      <w:r>
        <w:rPr>
          <w:b/>
        </w:rPr>
        <w:t>E. 3.3</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3.4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w:t>
      </w:r>
    </w:p>
    <w:p>
      <w:r>
        <w:t>- 7 -</w:t>
      </w:r>
    </w:p>
    <w:p>
      <w:r>
        <w:t>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 9 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rPr>
          <w:b/>
        </w:rPr>
        <w:t>E. 3.5</w:t>
      </w:r>
    </w:p>
    <w:p>
      <w:r>
        <w:t>L’autorité requérante soupçonne A. d’avoir commis diverses infractions contre le patrimoine avec le concours de plusieurs de ses proches. Celle-ci est directement visée par l’enquête américaine en tant qu’auteure principale de l’infraction et les deux comptes bancaires objets de la décision querellée, dont elle est co-titulaire, sont expressément mentionnés par le DOJ dans sa requête d’entraide. Dans ces conditions déjà, la remise des documents litigieux à l’Etat requérant se justifie pleinement du point de vue de l’utilité potentielle. De plus et selon les déclarations de la recourante elle-même, le compte bancaire n° 2 ouvert auprès de la banque D. est lié à l’octroi d’un prêt hypothécaire relatif à un bien immobilier situé à Z. (CH), lequel pourrait, selon le DOJ, avoir été acquis au moyen de transferts provenant des comptes de B. (act. 1.3, p. 5). Enfin, l’OFJ a relevé sur le compte bancaire n° 1 la présence de plusieurs virements émanant de G. (ancien ami de la recourante et également visé par la justice américaine), ainsi que plusieurs transferts en provenance ou à destination de sa sœur et son beau-frère, également suspectés d’avoir joué un rôle dans cette affaire (act. 1.2, p. 2). Au vu de ce qui précède, la remise de tels documents est justifiée au regard de la jurisprudence précitée (cf. supra, consid. 3.2 à 3.4). Il s’ensuit que le grief tiré d’une violation du principe de la proportionnalité est mal fondé.</w:t>
      </w:r>
    </w:p>
    <w:p>
      <w:r>
        <w:t>- 8 -</w:t>
      </w:r>
    </w:p>
    <w:p>
      <w:r>
        <w:rPr>
          <w:b/>
        </w:rPr>
        <w:t>E. 4</w:t>
      </w:r>
    </w:p>
    <w:p>
      <w:r>
        <w:t>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ainsi les frais du présent arrêt, fixés à CHF 4'000.-- (art. 73 al. 2 LOAP et art. 8 al. 3 du règlement du Tribunal pénal fédéral sur les frais, émoluments, dépens, et indemnités de la procédure pénale fédérale du 31 août 2010 [RFPPF; RS 173.713.162] et art. 63 al. 4 PA), couverts par l’avance de frais totale de CHF 5'000.-- déjà versée. La caisse du Tribunal pénal fédéral restituera au conseil de la recourante le solde par CHF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