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RR.2017.22 vom 9. Mai 2017</w:t>
      </w:r>
    </w:p>
    <w:p>
      <w:r>
        <w:t>Bundesstrafgericht, 2017-05-09, IT</w:t>
      </w:r>
    </w:p>
    <w:p>
      <w:r>
        <w:rPr>
          <w:b/>
        </w:rPr>
        <w:t xml:space="preserve">Quelle: </w:t>
      </w:r>
      <w:r>
        <w:t>https://mcp.opencaselaw.ch/entscheid/bstger_RR.2017.22</w:t>
      </w:r>
    </w:p>
    <w:p>
      <w:r>
        <w:t>FR: TPF RR.2017.22 du 9 mai 2017</w:t>
      </w:r>
    </w:p>
    <w:p>
      <w:r>
        <w:t>IT: TPF RR.2017.22 del 9 maggio 2017</w:t>
      </w:r>
    </w:p>
    <w:p>
      <w:pPr>
        <w:pStyle w:val="Heading2"/>
      </w:pPr>
      <w:r>
        <w:t>Regeste</w:t>
      </w:r>
    </w:p>
    <w:p>
      <w:r>
        <w:t>Assistenza giudiziaria internazionale in materia penale all'Italia. Consegna di mezzi di prova (art. 74 AIMP). Durata del sequestro (art. 33a OAIMP).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w:t>
      </w:r>
    </w:p>
    <w:p>
      <w:r>
        <w:t>- 4 -</w:t>
      </w:r>
    </w:p>
    <w:p>
      <w:r>
        <w:t>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 siddetto principio di favore), si applicano la legge federale sull'assistenza inter- nazionale in materia penale del 20 marzo 1981 (AIMP; RS 351.1), unitamente alla relativa ordinanza (OAIMP; RS 351.11; v. art. 1 cpv. 1 AIMP, art. I n. 2 Accordo italo-svizzero; DTF 142 IV 250 consid. 3; 140 IV 123 consid. 2; 137 IV 33 consid. 2.2.2; 136 IV 82 consid. 3.1). Il principio di favore vale anche nell'ap- 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Basilea 2015, n. 1 e segg. ad art. 12 AIMP), di cui al precedente considerando.</w:t>
      </w:r>
    </w:p>
    <w:p>
      <w:r>
        <w:rPr>
          <w:b/>
        </w:rPr>
        <w:t>E. 1.4</w:t>
      </w:r>
    </w:p>
    <w:p>
      <w:r>
        <w:t>Interposto tempestivamente contro la sopraccitata decisione di chiusura par- ziale, il ricorso è ricevibile sotto il profilo degli art. 25 cpv. 1, 80e cpv. 1 e 80k AIMP.</w:t>
      </w:r>
    </w:p>
    <w:p>
      <w:r>
        <w:rPr>
          <w:b/>
        </w:rPr>
        <w:t>E. 1.5.1</w:t>
      </w:r>
    </w:p>
    <w:p>
      <w:r>
        <w:t>La ricevibilità del gravame presuppone altresì la legittimazione a ricorrere dell'insorgente giusta l’art. 80h AIMP. In base a quest’ultima disposizione, oltre all’UFG (art. 80h lett. a AIMP), ha diritto di ricorrere chiunque è toccato perso- nalmente e direttamente da una misura d’assistenza giudiziaria e ha un inte- resse degno di protezione all’annullamento o alla modifica della stessa (art. 80h lett. b AIMP; v. anche l’art. 21 cpv. 3 AIMP per quanto concerne le persone contro cui è diretto il procedimento penale all’estero). Il concetto di persona toc- cata ai sensi dei predetti articoli di legge trova concretizzazione sia nella giuri-</w:t>
      </w:r>
    </w:p>
    <w:p>
      <w:r>
        <w:t>- 5 -</w:t>
      </w:r>
    </w:p>
    <w:p>
      <w:r>
        <w:t>sprudenza che all'art. 9a OAIMP. Per essere considerato personalmente e di- rettamente toccato da una misura di assistenza giudiziaria internazionale, il ri- corrente deve avere un legame sufficientemente stretto con la decisione liti- giosa (DTF 123 II 161 consid. 1 d/aa). Più concretamente, nel caso di una ri- chiesta d’informazioni su un conto bancario è considerato personalmente e di- rettamente toccato il titolare del conto (v. art. 9a lett. a OAIMP; DTF 137 IV 134 consid. 5.2 e 5.2.1 e 118 Ib 547 consid. 1d), così come nelle perquisizioni do- miciliari questa qualità spetta al proprietario o al locatario (v. art. 9a lett. b OAIMP). In via giurisprudenziale è stato altresì precisato che la legittimazione a ricorrere compete alla persona direttamente sottoposta a una misura coerci- tiva (perquisizione, sequestro o interrogatorio; DTF 130 II 162 consid. 1.1; 128 II 211 consid. 2.3; 127 II 198 consid. 2d; 126 II 258 consid. 2d; 124 II 180 consid. 1b; TPF 2007 79 consid. 1.6 pag. 82), mentre gli interessati toccati solo in ma- niera indiretta, come ad esempio il mero avente diritto economico di un conto bancario, non possono impugnare tali provvedimenti (DTF 137 IV 134 consid. 5.2.1 e 122 II 130 consid. 2b e rinvii). Per lo stesso motivo, nel caso di docu- menti in possesso di terzi, soltanto questi ultimi in quanto loro possessori pos- sono contestare il sequestro degli stessi, anche se i documenti in questione concernono un’altra persona contro la quale è pendente un procedimento pe- nale estero (DTF 137 IV 134 consid. 5.2.3; 123 II 161 consid. 1d; 116 Ib 106 consid. 2a; TPF 2007 79 consid. 1.6). Secondo la giurisprudenza, questo vale parimenti nel caso di documentazione bancaria detenuta da un avvocato o da una fiduciaria in ragione di un mandato (sentenza del Tribunale federale 1A.293/2004 del 18 marzo 2005, consid. 2.3; sentenza del Tribunale penale federale RR.2007.101 del 12 luglio 2007, consid. 2.1).</w:t>
      </w:r>
    </w:p>
    <w:p>
      <w:r>
        <w:rPr>
          <w:b/>
        </w:rPr>
        <w:t>E. 1.5.2</w:t>
      </w:r>
    </w:p>
    <w:p>
      <w:r>
        <w:t>In concreto, nella misura in cui concerne la trasmissione di documentazione sequestrata presso la sede di B. SA, il gravame è inammissibile, dato che il ricorrente non risulta né proprietario né locatario dei locali della società in que- stione (v. art. 9a lett. b OAIMP; sentenza del Tribunale penale federale RR.2016.277 del 7 febbraio 2017, consid. 1.5.2). La legittimazione è invece data per quanto riguarda il mantenimento del sequestro del denaro contante in possesso del ricorrente al momento del suo arresto, per un totale di EUR 11'900.-- in banconote da EUR 50.--.</w:t>
      </w:r>
    </w:p>
    <w:p>
      <w:r>
        <w:rPr>
          <w:b/>
        </w:rPr>
        <w:t>E. 2</w:t>
      </w:r>
    </w:p>
    <w:p>
      <w:r>
        <w:t>Il ricorrente sostiene che la domanda di assistenza costituirebbe una fishing expedition, ciò che renderebbe il sequestro dei suoi beni personali arbitrario e immotivato.</w:t>
      </w:r>
    </w:p>
    <w:p>
      <w:r>
        <w:rPr>
          <w:b/>
        </w:rPr>
        <w:t>E. 2.1.1</w:t>
      </w:r>
    </w:p>
    <w:p>
      <w:r>
        <w:t>La questione di sapere se le informazioni richieste nell'ambito di una domanda di assistenza siano necessarie o utili per il procedimento estero deve essere</w:t>
      </w:r>
    </w:p>
    <w:p>
      <w:r>
        <w:t>- 6 -</w:t>
      </w:r>
    </w:p>
    <w:p>
      <w:r>
        <w:t>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è manifestamente disatteso (DTF 120 Ib 251 consid. 5c; sentenze del Tribunale penale federale RR.2008.154-157 dell'11 settembre 2008, con- sid. 3.1; RR.2007.18 del 21 maggio 2007, consid. 6.3) o se la domanda appare abusiva, le informazioni richieste essendo del tutto inidonee a far progredire le indagini (DTF 122 II 134 consid. 7b; 121 II 241 consid. 3a). Inoltre, da consoli- data prassi, quando le autorità estere chiedono informazioni per ricostruire flussi patrimoniali di natura criminale si ritiene che necessitino di regola l’integralità della relativa documentazione, in modo tale da scoprire tutte le persone o entità giuridiche coinvolte (v. DTF 129 II 462 consid. 5.5; 124 II 180 consid. 3c inedito; 121 II 241 consid. 3b e c; sentenze del Tribunale federale 1A.177/2006 del 10 dicembre 2007, consid. 5.5; 1A.227/2006 del 22 febbraio 2007, consid. 3.2; 1A.195/2005 del 1° settembre 2005 in fine). La trasmissione dell'intera docu- mentazione potrà evitare altresì l'inoltro di eventuali domande complementari (DTF 136 IV 82 consid. 4.1; 121 II 241 consid. 3; sentenza del Tribunale fede- rale 1C_486/2008 dell'11 novembre 2008, consid. 2.4; sentenza del Tribunale penale federale RR.2011.113 del 28 luglio 2011, consid. 4.2). In base alla giu- risprudenza l'esame da parte delle autorità di esecuzione e del giudice dell’as- sistenza va limitato alla cosiddetta utilità potenziale, secondo cui la consegna giusta l'art. 74 AIMP è esclusa soltanto per quei mezzi di prova certamente privi di rilevanza per il procedimento penale all'estero (DTF 126 II 258 consid. 9c; 122 II 367 consid. 2c; 121 II 241 consid. 3a e b). Vietata in particolare è la cosiddetta fishing expedition, la quale è definita dalla giurisprudenza una ricerca generale ed indeterminata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inammissibile procedere a casaccio nella raccolta delle prove (DTF 113 Ib 257 consid. 5c).</w:t>
      </w:r>
    </w:p>
    <w:p>
      <w:r>
        <w:rPr>
          <w:b/>
        </w:rPr>
        <w:t>E. 2.1.2</w:t>
      </w:r>
    </w:p>
    <w:p>
      <w:r>
        <w:t>In concreto, non si può assolutamente affermare che l’autorità estera stia pro- cedendo a casaccio con la sua rogatoria. A. è ritenuto dagli inquirenti italiani il promotore e organizzatore dell’associazione per delinquere di cui sopra (v. Fatti lett. A supra). In concorso con altri, egli avrebbe posto in essere condotte fina- lizzate a realizzare la bancarotta fraudolenta di cinque società, dichiarate fallite, dissipando il loro patrimonio sociale mediante operazioni a loro svantaggio, come l’acquisizione di crediti inesigibili, l’assunzione di debiti tributari scaturiti da operazioni di frode all’IVA, il pagamento di fatture per prestazioni inesistenti, il prelevamento in contanti senza una valida ragione economica. Gli indagati</w:t>
      </w:r>
    </w:p>
    <w:p>
      <w:r>
        <w:t>- 7 -</w:t>
      </w:r>
    </w:p>
    <w:p>
      <w:r>
        <w:t>avrebbero inoltre sottratto e distrutto diversa documentazione contabile, al fine di non rendere più ricostruibile né il patrimonio né il movimento degli affari di ognuna società. I fatti sono descritti in maniera precisa nella rogatoria (v. atto 1 pag. 2 e seg. incarto MP/TI). Oltre a ciò, i predetti avrebbero commesso frodi nel settore del commercio di prodotti hi-tech (ad alta tecnologia), istigando, a tal fine, i responsabili di imprese nazionali conniventi (cosiddette “broker”) a effet- tuare cessioni di beni a società domiciliate in Paesi dell’Unione europea (cosid- dette “Conduit Companies”), come C. Z.o.o, D. S.r.o. e E. S.r.o., riconducibili di fatto all’associazione gestita dal ricorrente. Queste avrebbero ceduto poi la merce a società nazionali (cosiddette “cartiere” o “missing trader”), come F. S.r.l., G. S.r.l., H. S.r.l., I. S.r.l. (dal febbraio all’aprile 2014) e J. S.r.l. (da giugno 2013 a febbraio 2014), le quali, infine, avrebbero falsamente documentato la cessione dei medesimi prodotti ai reali acquirenti. Lo stesso meccanismo, con l’utilizzo di altre società, sarebbe stato posto in essere per commettere frodi fiscali nel settore del commercio di materie prime alimentari (v. più precisa- mente atto 1 pag. 4 incarto MP/TI). L’autorità rogante ha poi descritto altre pre- sunte frodi fiscali attuate mediante l’emissione, da parte di alcune società so- pracitate, di fatture relative a operazioni oggettivamente inesistenti. Nell’asso- ciazione in questione avrebbe in particolare agito, in qualità di amministratore di fatto di C. Z.o.o., D. S.r.o. e E. S.r.o., A., che avrebbe rivestito il ruolo di materiale organizzatore, detenendo potere decisionale e sollecitando l’innesco della frode mediante disposizioni impartite a tale K. e tessendo i rapporti con la società “broker”. I fatti si sarebbero svolti nei territori delle province di Vicenza e Milano nonché in Svizzera, Inghilterra, Polonia, Repubblica Slovacca, Bulga- ria, Repubblica Ceca, Austria, Croazia e Portogallo, dal luglio 2009 sino ad oggi (v. atto 1 pag. 4 incarto MP/TI). Nella rogatoria vengono infine descritti altri reati contestati al ricorrente, in concorso con altri, concernenti emissioni di fatture per operazioni inesistenti commessi mediante le società già evidenziate (v. atto 1 pag. 4 e segg.). Per quanto riguarda B. SA, ritenuta dall’autorità estera lo schermo giuridico dell’organizzazione, si rileva che nei suoi confronti società di “broker” italiane avrebbero emesso fatture per operazioni soggettivamente ine- sistenti (innesco della presunta frode). Essa avrebbe poi emesso, a sua volta e per la medesima merce, fatture soggettivamente inesistenti nei confronti di altre società conniventi estere (passaggio tra due Conduit Companies comunitarie). La società connivente estera, a sua volta e per la medesima merce, avrebbe emesso fatture soggettivamente inesistenti nei confronti di società nazionali co- siddette “cartiere” (dalla “Conduit Company” alla cartiera italiana). Le società cartiere, a sua volta e per la medesima merce, avrebbe emesso fatture sogget- tivamente inesistenti, operando in costante sottocosto e omettendo il relativo versamento dell’IVA, nei confronti di società broker (v. atto 1 pag. 6 incarto MP/TI). In sostanza, il ricorrente, per il tramite di B. SA, di cui è risultato dipen- dente, avrebbe gestito direttamente le società “Conduit Company” D. S.r.o., C.</w:t>
      </w:r>
    </w:p>
    <w:p>
      <w:r>
        <w:t>- 8 -</w:t>
      </w:r>
    </w:p>
    <w:p>
      <w:r>
        <w:t>Z.o.o. e E.. S.r.o. Egli avrebbe tenuto i contatti con gli altri membri dell’organiz- zazione mediante un’utenza telefonica intestata a B. SA (v. atto 1 pag. 7 e seg. incarto MP/TI).</w:t>
      </w:r>
    </w:p>
    <w:p>
      <w:r>
        <w:rPr>
          <w:b/>
        </w:rPr>
        <w:t>E. 2.2.1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 que- st'ultima (DTF 130 II 329 consid. 3; sentenza del Tribunale federale 1C_513/2010 dell'11 marzo 2011, consid. 3.3).</w:t>
      </w:r>
    </w:p>
    <w:p>
      <w:r>
        <w:rPr>
          <w:b/>
        </w:rPr>
        <w:t>E. 2.2.2</w:t>
      </w:r>
    </w:p>
    <w:p>
      <w:r>
        <w:t>Ebbene, visto quanto esposto in precedenza (v. consid. 2.1.2 supra), è senz'al- tro possibile concludere che esistono elementi sufficienti per confermare il se- questro contestato. Potendo il denaro sequestrato essere legato ai reati conte- stati ad A., la misura va confermata in ottica di un’eventuale futura richiesta di confisca giusta l’art. 74a AIMP. Toccherà poi all'autorità estera accertare se il denaro in questione è effettivamente di origine illecita. In caso affermativo, esso potrebbe fare l'oggetto di una decisione di confisca o di restituzione all'avente diritto nello Stato richiedente (v. art. 74a cpv. 1 e 2 AIMP e art. 13 e segg. CRic, nonché DTF 123 II 134 consid. 5c, 268 consid. 4, 595 consid. 3). In definitiva, il sequestro litigioso deve essere mantenuto di principio sino alla notifica di una decisione definitiva ed esecutiva dello Stato richiedente o fintanto che quest'ul- timo non abbia comunicato che una tale decisione non può più essere pronun- ciata (art. 74a cpv. 3 AIMP e 33a OAIMP; TPF 2007 124 consid. 8 e rinvii; v. an- che art. 11 e seg. CRic), ferma restando la necessità che la procedura all'estero avanzi (DTF 126 II 462 consid. 5e). Il ricorrente non ha peraltro sostanziato nessun pregiudizio economico cagionato dal sequestro. Anche da questo punto di vista la misura in questione non presenta alcun elemento di sproporzionalità. Ne consegue che il sequestro va confermato e le relative censure respinte.</w:t>
      </w:r>
    </w:p>
    <w:p>
      <w:r>
        <w:rPr>
          <w:b/>
        </w:rPr>
        <w:t>E. 3</w:t>
      </w:r>
    </w:p>
    <w:p>
      <w:r>
        <w:t>In definitiva, la decisione impugnata va integralmente confermata e il gravame respinto, nella misura della sua ammissibilità.</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