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RR.2017.21 vom 9. Mai 2017</w:t>
      </w:r>
    </w:p>
    <w:p>
      <w:r>
        <w:t>Bundesstrafgericht, 2017-05-09, IT</w:t>
      </w:r>
    </w:p>
    <w:p>
      <w:r>
        <w:rPr>
          <w:b/>
        </w:rPr>
        <w:t xml:space="preserve">Quelle: </w:t>
      </w:r>
      <w:r>
        <w:t>https://mcp.opencaselaw.ch/entscheid/bstger_RR.2017.21</w:t>
      </w:r>
    </w:p>
    <w:p>
      <w:r>
        <w:t>FR: TPF RR.2017.21 du 9 mai 2017</w:t>
      </w:r>
    </w:p>
    <w:p>
      <w:r>
        <w:t>IT: TPF RR.2017.21 del 9 maggio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w:t>
      </w:r>
    </w:p>
    <w:p>
      <w:r>
        <w:t>- 4 -</w:t>
      </w:r>
    </w:p>
    <w:p>
      <w:r>
        <w:t>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 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par- ziale, il ricorso è ricevibile sotto il profilo degli art. 25 cpv. 1, 80e cpv. 1 e 80k AIMP. Nella misura in cui la perquisizione ed il sequestro sono avvenuti nei suoi uffici, la ricorrente è legittimata a ricorrere (v. art. 9a lett. b OAIMP; TPF 2007 79 consid. 1.6 pag. 82).</w:t>
      </w:r>
    </w:p>
    <w:p>
      <w:r>
        <w:rPr>
          <w:b/>
        </w:rPr>
        <w:t>E. 2</w:t>
      </w:r>
    </w:p>
    <w:p>
      <w:r>
        <w:t>La società ricorrente sostiene che la domanda di assistenza sarebbe lacunosa e irrispettosa dei requisiti posti dal diritto federale. A suo dire, nella ricostruzione fatta dall’autorità richiedente della frode carosello contestata agli indagati non sarebbe chiaramente definito il suo ruolo. In realtà, gli inquirenti italiani sareb- bero solo in grado di evidenziare un legame tra la ricorrente medesima e B. (considerato una delle figure al vertice dell’organizzazione) per il fatto che il se- condo sarebbe alle dipendenze della prima, società operativa da anni a Lugano. Secondo la ricorrente, l’esposto dei fatti descritti in rogatoria conterrebbe incon- gruenze e contraddizioni.</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w:t>
      </w:r>
    </w:p>
    <w:p>
      <w:r>
        <w:t>- 5 -</w:t>
      </w:r>
    </w:p>
    <w:p>
      <w:r>
        <w:t>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(v. DTF 117 Ib 64 consid. 5c, con giurisprudenza citata). Ciò non im- plica per lo Stato richiedente l'obbligo di provare la commissione del reato, ma solo quello di esporre in modo sufficiente le circostanze sulle quali fonda i propri sospetti, per permettere allo Stato richiesto di escludere che la domanda costi- tuisca un'inammissibile ricerca indiscriminata di prove (v. su questo tema DTF 129 II 97 consid. 3.1; 125 II 65 consid. 6b/aa; 122 II 367 consid. 2c). L'esame della colpevolezza è riservato al giudice straniero del merito, non a quello sviz- zero dell'assistenza (DTF 113 Ib 276 consid. 3a; 112 Ib 576 consid. 3; sentenza del Tribunale federale 1C_562/2011 del 22 dicembre 2011, consid. 1.5). L'au- torità non si scosta dall'esposto dei fatti contenuto nella domanda, fatti salvi gli errori, le lacune o altre contraddizioni evidenti ed immediatamente rilevati (DTF 132 II 81 consid. 2.1; 118 Ib 111 consid. 5b pag. 121 e seg.).</w:t>
      </w:r>
    </w:p>
    <w:p>
      <w:r>
        <w:rPr>
          <w:b/>
        </w:rPr>
        <w:t>E. 2.2</w:t>
      </w:r>
    </w:p>
    <w:p>
      <w:r>
        <w:t>La rogatoria del 24 ottobre 2016 indica con sufficiente chiarezza il suo oggetto. B. è ritenuto dagli inquirenti italiani il promotore e organizzatore dell’associa- zione per delinquere di cui sopra (v. Fatti lett. A supra). In concorso con altri, egli avrebbe posto in essere condotte finalizzate a realizzare la bancarotta frau- dolenta di cinque società, dichiarate fallite, dissipando il loro patrimonio sociale mediante operazioni a loro svantaggio, come l’acquisizione di crediti inesigibili, l’assunzione di debiti tributari scaturiti da operazioni di frode all’IVA, il paga- mento di fatture per prestazioni inesistenti, il prelevamento in contanti senza una valida ragione economica. Gli indagati avrebbero inoltre sottratto e distrutto diversa documentazione contabile, al fine di non rendere più ricostruibile né il patrimonio né il movimento degli affari di ognuna società. I fatti sono descritti in maniera precisa nella rogatoria (v. atto 1 pag. 2 e seg. incarto MP/TI). Oltre a ciò, i predetti avrebbero commesso frodi nel settore del commercio di prodotti hi-tech (ad alta tecnologia), istigando, a tal fine, i responsabili di imprese nazio- nali conniventi (cosiddette “broker”) a effettuare cessioni di beni a società domi- ciliate in Paesi dell’Unione europea (cosiddette “Conduit Company”), come C Z.o.o., D. S.r.o. e E. S.r.o., riconducibili di fatto all’associazione. Quest’ultime avrebbero ceduto poi la merce a società nazionali (cosiddette “cartiere” o “mis- sing trader”), come F. S.r.l., G. S.r.l., H. S.r.l., I. S.r.l. (dal febbraio all’aprile 2014) e J. S.r.l. (da giugno 2013 a febbraio 2014), le quali, infine, avrebbero falsamente documentato la cessione dei medesimi prodotti ai reali acquirenti.</w:t>
      </w:r>
    </w:p>
    <w:p>
      <w:r>
        <w:t>- 6 -</w:t>
      </w:r>
    </w:p>
    <w:p>
      <w:r>
        <w:t>Lo stesso meccanismo, con l’utilizzo di altre società, sarebbe stato posto in es- sere per commettere frodi fiscali nel settore del commercio di materie prime alimentari (v. più precisamente atto 1 pag. 4 incarto MP/TI). L’autorità rogante ha poi descritto altre presunte frodi fiscali attuate mediante l’emissione, da parte di alcune società sopracitate, di fatture relative a operazioni oggettivamente ine- sistenti. Nell’associazione in questione B. avrebbe agito in qualità di ammini- stratore di fatto di C. Z.o.o., D. S.r.o. e E. S.r.o. Questi sarebbe stato l’organiz- zatore materiale, detenendo potere decisionale e sollecitando l’innesco della frode mediante disposizioni impartite a tale K. e tendendo i rapporti con la so- cietà “broker”. I fatti si sarebbero svolti nei territori delle province di Vicenza e Milano nonché in Svizzera, Inghilterra, Polonia, Repubblica Slovacca, Bulgaria, Repubblica Ceca, Austria, Croazia e Portogallo, dal luglio 2009 sino ad oggi (v. atto 1 pag. 4 incarto MP/TI). Nella rogatoria vengono infine descritti altri reati contestati a B., in concorso con altri, concernenti emissioni di fatture per opera- zioni inesistenti commessi mediante le società già evidenziate (v. atto 1 pag. 4 e segg.). Per quanto riguarda più da vicino la società ricorrente, ritenuta dall’au- torità estera lo schermo giuridico dell’organizzazione, si rileva che nei suoi con- fronti società di “broker” italiane avrebbero emesso fatture per operazioni sog- gettivamente inesistenti (innesco della presunta frode). Essa avrebbe poi emesso, a sua volta e per la medesima merce, fatture soggettivamente inesi- stenti nei confronti di altre società conniventi estere (passaggio tra due “Conduit Companies” comunitarie). La società connivente estera, a sua volta e per la medesima merce, avrebbe emesso fatture soggettivamente inesistenti nei con- fronti di società nazionali cosiddette “cartiere” (dalla “Conduit Company” alla cartiera italiana). Le società cartiere, a sua volta e per la medesima merce, avrebbe emesso fatture soggettivamente inesistenti, operando in costante sot- tocosto e omettendo il relativo versamento dell’IVA, nei confronti di società “bro- ker” (v. atto 1 pag. 6 incarto MP/TI). In sostanza, B., per il tramite della società ricorrente, di cui è risultato dipendente, avrebbe gestito direttamente le società “Conduit Companies” D. S.r.o., C. Z.o.o. e E. S.r.o. Egli avrebbe tenuto i contatti con gli altri membri dell’organizzazione mediante un’utenza telefonica intestata alla società ricorrente (v. atto 1 pag. 7 e seg. incarto MP/TI).</w:t>
      </w:r>
    </w:p>
    <w:p>
      <w:r>
        <w:t>Ora, premesso che singole imprecisioni o errori nella rogatoria non potrebbero, anche se confermati, condurre al semplice rifiuto dell’assistenza – in fondo è proprio la documentazione richiesta che dovrà permettere di meglio chiarire i fatti oggetto d’indagine – quanto precede è senz’altro sufficiente alla luce dei requisiti legali e giurisprudenziali di cui sopra (v. consid. 2.1). La censura in questo ambito va dunque disattesa.</w:t>
      </w:r>
    </w:p>
    <w:p>
      <w:r>
        <w:rPr>
          <w:b/>
        </w:rPr>
        <w:t>E. 3</w:t>
      </w:r>
    </w:p>
    <w:p>
      <w:r>
        <w:t>Invocando di fatto una violazione del principio della proporzionalità, la ricorrente afferma che la rogatoria costituirebbe una fishing expedition. A suo dire, le au-</w:t>
      </w:r>
    </w:p>
    <w:p>
      <w:r>
        <w:t>- 7 -</w:t>
      </w:r>
    </w:p>
    <w:p>
      <w:r>
        <w:t>torità estere starebbero procedendo per tentativi nell’attribuirle un ruolo nell’or- ganizzazione indagata. Non vi sarebbe alcun indizio per affermare che la stessa sarebbe lo schermo giuridico del sodalizio in questione. Il fatto che B. sia dipen- dente della società ricorrente non permetterebbe di concludere che quest’ultima abbia avuto un ruolo nel sistema di frode contestato.</w:t>
      </w:r>
    </w:p>
    <w:p>
      <w:r>
        <w:rPr>
          <w:b/>
        </w:rPr>
        <w:t>E. 3.1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è manifestamente disatteso (DTF 120 Ib 251 consid. 5c; sentenze del Tribunale penale federale RR.2008.154-157 dell'11 settembre 2008, con- sid. 3.1; RR.2007.18 del 21 maggio 2007, consid. 6.3) o se la domanda appare abusiva, le informazioni richieste essendo del tutto inidonee a far progredire le indagini (DTF 122 II 134 consid. 7b; 121 II 241 consid. 3a). Inoltre, da consoli- data prassi, quando le autorità estere chiedono informazioni per ricostruire flussi patrimoniali di natura criminale si ritiene che necessitino di regola l’integralità della relativa documentazione, in modo tale da scoprire tutte le persone o entità giuridiche coinvolte (v. DTF 129 II 462 consid. 5.5; 124 II 180 consid. 3c inedito; 121 II 241 consid. 3b e c; sentenze del Tribunale federale 1A.177/2006 del 10 dicembre 2007, consid. 5.5; 1A.227/2006 del 22 febbraio 2007, consid. 3.2; 1A.195/2005 del 1° settembre 2005 in fine). La trasmissione dell'intera docu- mentazione potrà evitare altresì l'inoltro di eventuali domande complementari (DTF 136 IV 82 consid. 4.1; 121 II 241 consid. 3; sentenza del Tribunale fede- rale 1C_486/2008 dell'11 novembre 2008, consid. 2.4; sentenza del Tribunale penale federale RR.2011.113 del 28 luglio 2011, consid. 4.2). In base alla giu- risprudenza l'esame da parte delle autorità di esecuzione e del giudice dell’as- 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t>- 8 -</w:t>
      </w:r>
    </w:p>
    <w:p>
      <w:r>
        <w:rPr>
          <w:b/>
        </w:rPr>
        <w:t>E. 3.2</w:t>
      </w:r>
    </w:p>
    <w:p>
      <w:r>
        <w:t>In concreto, visto quanto già esposto in precedenza (v. consid. 2.2), l’utilità po- tenziale della documentazione sequestrata presso i locali della ricorrente non può senz’altro essere esclusa: da una parte, perché si tratta di fatture relative a società coinvolte nell’inchiesta estera (v. act. 1.1 pag. 13); dall’altra, in quanto la società ricorrente, di cui l’indagato principale (presunto promotore e organiz- zatore dell’organizzazione) B. è dipendente, è sospettata di aver assunto un ruolo attivo (quale “Conduit Company”) nella presunta frode fiscale in questione.</w:t>
      </w:r>
    </w:p>
    <w:p>
      <w:r>
        <w:t>Spetterà comunque al giudice estero del merito valutare se dalla documenta- zione richiesta emerge in concreto una connessione penalmente rilevante fra i fatti perseguiti in Italia e detta documentazione. Alla luce della domanda roga- toriale e del relativo complemento, che ben specificano la fattispecie oggetto di indagine, risulta che tutta la documentazione litigiosa è potenzialmente utile per l’inchiesta, motivo per cui la sua trasmissione rispetta il principio della propor- zionalità e non costituisce un'inammissibile fishing expedition.</w:t>
      </w:r>
    </w:p>
    <w:p>
      <w:r>
        <w:rPr>
          <w:b/>
        </w:rPr>
        <w:t>E. 4</w:t>
      </w:r>
    </w:p>
    <w:p>
      <w:r>
        <w:t>In definitiva, la decisione impugnata va integralmente confermata ed il gravame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