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RR.2017.198 vom 30. November 2017</w:t>
      </w:r>
    </w:p>
    <w:p>
      <w:r>
        <w:t>Bundesstrafgericht, 2017-11-30, DE</w:t>
      </w:r>
    </w:p>
    <w:p>
      <w:r>
        <w:rPr>
          <w:b/>
        </w:rPr>
        <w:t xml:space="preserve">Quelle: </w:t>
      </w:r>
      <w:r>
        <w:t>https://mcp.opencaselaw.ch/entscheid/bstger_RR.2017.198</w:t>
      </w:r>
    </w:p>
    <w:p>
      <w:r>
        <w:t>FR: TPF RR.2017.198 du 30 novembre 2017</w:t>
      </w:r>
    </w:p>
    <w:p>
      <w:r>
        <w:t>IT: TPF RR.2017.198 del 30 novembre 2017</w:t>
      </w:r>
    </w:p>
    <w:p>
      <w:pPr>
        <w:pStyle w:val="Heading2"/>
      </w:pPr>
      <w:r>
        <w:t>Regeste</w:t>
      </w:r>
    </w:p>
    <w:p>
      <w:r>
        <w:t>Internationale Rechtshilfe in Strafsachen an Österreich. Rechtsverweigerung (Art. 46a VwVG).</w:t>
      </w:r>
    </w:p>
    <w:p>
      <w:pPr>
        <w:pStyle w:val="Heading2"/>
      </w:pPr>
      <w:r>
        <w:t>Erwägungen</w:t>
      </w:r>
    </w:p>
    <w:p>
      <w:r>
        <w:rPr>
          <w:b/>
        </w:rPr>
        <w:t>E. 1.1</w:t>
      </w:r>
    </w:p>
    <w:p>
      <w:r>
        <w:t>Für die Rechtshilfe zwischen der Schweiz und Österreich sind in erster Linie das Europäische Übereinkommen über die Rechtshilfe in Strafsachen vom 20. April 1959 (EUeR; SR 0.351.1), der zwischen den beiden Staaten abge- schlossene Vertrag vom 13. Juni 1972 über die Ergänzung des EUeR und die Erleichterung seiner Anwendung (Zusatzvertrag; SR 0.351.916.32) so- wie die Bestimmungen der Art. 48 ff. des Übereinkommens vom 19. Juni 1990 zur Durchführung des Übereinkommens von Schengen vom 14. Juni 1985 (Schengener Durchführungsübereinkommen, SDÜ; ABl. L 239 vom 22. September 2000, S. 19 – 62) massgebend.</w:t>
      </w:r>
    </w:p>
    <w:p>
      <w:r>
        <w:rPr>
          <w:b/>
        </w:rPr>
        <w:t>E. 1.2</w:t>
      </w:r>
    </w:p>
    <w:p>
      <w:r>
        <w:t>Soweit das Staatsvertragsrecht bestimmte Fragen nicht abschliessend re- gelt, gelangt das schweizerische Landesrecht, namentlich das Bundesge- setz vom 20. März 1981 über internationale Rechtshilfe in Strafsachen (IRSG; SR 351.1) und die Verordnung vom 24. Februar 1982 über internati- onale Rechtshilfe in Strafsachen (IRSV; SR 351.11), zur Anwendung (vgl. Art. 1 Abs. 1 IRSG). Ebenso zur Anwendung kommt vorliegend das Überein- kommen vom 8. November 1990 über Geldwäscherei sowie Ermittlung, Be- schlagnahme und Einziehung von Erträgen aus Straftaten (GwUe; SR 0.311.53). Das innerstaatliche Recht gilt nach dem Günstigkeitsprinzip auch dann, wenn dieses geringere Anforderungen an die Rechtshilfe stellt (BGE 142 IV 250 E. 3; 140; 123 E. 1.1 S. 26). Vorbehalten bleibt die Wahrung der Menschenrechte (BGE 135 IV 212 E. 2.3; 123 II 595 E. 7c).</w:t>
      </w:r>
    </w:p>
    <w:p>
      <w:r>
        <w:rPr>
          <w:b/>
        </w:rPr>
        <w:t>E. 1.3</w:t>
      </w:r>
    </w:p>
    <w:p>
      <w:r>
        <w:t>Auf Beschwerdeverfahren in internationalen Rechtshilfeangelegenheiten sind zudem die Bestimmungen des Bundesgesetzes vom 20. Dezember 1968 über das Verwaltungsverfahren (VwVG; SR 172.021) anwendbar (Art. 39 Abs. 2 lit. b i.V.m. Art. 37 Abs. 2 lit. a StBOG), wenn das IRSG nichts anderes bestimmt (siehe Art. 12 Abs. 1 IRSG).</w:t>
      </w:r>
    </w:p>
    <w:p>
      <w:r>
        <w:rPr>
          <w:b/>
        </w:rPr>
        <w:t>E. 2.1</w:t>
      </w:r>
    </w:p>
    <w:p>
      <w:r>
        <w:t>Die vorliegende Rechtsverweigerungsbeschwerde richtet sich gegen die nach Darstellung des Beschwerdeführers unbehandelt gebliebenen Akten- einsichtsgesuche, letztmals gestellt mit Schreiben vom 14. Juni 2017 (act. 1).</w:t>
      </w:r>
    </w:p>
    <w:p>
      <w:r>
        <w:rPr>
          <w:b/>
        </w:rPr>
        <w:t>E. 2.2</w:t>
      </w:r>
    </w:p>
    <w:p>
      <w:r>
        <w:t>Gemäss Art. 46a VwVG kann gegen das unrechtmässige Verweigern oder Verzögern einer anfechtbaren Verfügung Beschwerde geführt werden. Eine Rechtsverweigerung setzt voraus, dass die rechtssuchende Person zuvor bei der zuständigen Behörde ein Gesuch eingereicht hat und ein Anspruch auf Erlass einer Verfügung gegeben ist (Entscheid des Bundesstrafgerichts RR.2012.41 vom 2. August 2012, E. 3.2; UHLMANN/WÄLLE-BÄR, VwVG – Pra- xiskommentar zum Bundesgesetz über das Verwaltungsverfahren, Zü- rich/Basel/Genf 2016, Art. 46a N. 13).</w:t>
      </w:r>
    </w:p>
    <w:p>
      <w:r>
        <w:rPr>
          <w:b/>
        </w:rPr>
        <w:t>E. 2.3</w:t>
      </w:r>
    </w:p>
    <w:p>
      <w:r>
        <w:t>Entscheidet im Verlaufe des Verfahrens die zum Entscheid verpflichtete Be- hörde in der Sache, kommt eine Rechtsverweigerungs- oder Rechtsverzö- gerungsbeschwerde mangels aktuellen Rechtschutzinteresses nicht mehr in Betracht (s. UHLMANN/WÄLLE-BÄR, a.a.O., Art. 46a N. 6). Fällt das aktuelle Interesse im Verlaufe des Verfahrens dahin, so wird das Verfahren infolge Gegenstandslosigkeit abgeschrieben; fehlte es schon bei Beschwerdeeinrei- chung, ist auf die Eingabe nicht einzutreten (BGE 118 Ia 488 E. 1a; 118 Ib 1 E. 2 S. 7; 111 Ib 56 E. 2; MARKUS MÜLLER, VwVG Kommentar zum Bundes- gesetz über das Verwaltungsverfahren, Auer/Müller Schindler [Hrsg.], Zü- rich/St. Gallen 2008, Art. 46a N. 11).</w:t>
      </w:r>
    </w:p>
    <w:p>
      <w:r>
        <w:rPr>
          <w:b/>
        </w:rPr>
        <w:t>E. 2.4</w:t>
      </w:r>
    </w:p>
    <w:p>
      <w:r>
        <w:t>Mit Zwischenverfügung vom 7. Juli 2017 entschied die Beschwerdegegnerin über die Akteneinsichtsgesuche, deren Nichtbehandlung Gegenstand der vorliegenden Rechtsverweigerungsbeschwerde vom 10. Juli 2017 bilden. Damit hat die Beschwerdegegnerin noch vor Beschwerdeerhebung dem in der Rechtsverweigerungsbeschwerde gestellten Antrag des Beschwerde- führers entsprochen. Daran vermag der Umstand, dass die Zwischenverfü- gung nach Darstellung des Beschwerdeführers ihm im Zeitpunkt der Be- schwerdeerhebung noch nicht eröffnet worden war, nichts zu ändern. Bei dieser Sachlage kommt eine Rechtsverweigerungsbeschwerde mangels ak- tuellen Rechtsschutzinteresses nicht mehr in Betracht und auf die Rechts- verweigerungsbeschwerde ist nach dem Gesagten nicht einzutreten. Der Beschwerdeführer macht zwar geltend, die Beschwerdegegnerin habe in ih- rer Zwischenverfügung vom 7. Juli 2017 die Verweigerung der Akteneinsicht nicht begründet und ihr Vorgehen komme einer Rechtsverweigerung gleich. Aus diesem Grund sei auf die Beschwerde einzutreten und gutzuheissen (act. 8 S. 3). Entgegen seiner Annahme ist seine Rüge allerdings nicht im Rahmen einer Rechtsverweigerungsbeschwerde, sondern gegebenenfalls</w:t>
      </w:r>
    </w:p>
    <w:p>
      <w:r>
        <w:t>einer Beschwerde gegen die Zwischenverfügung vom 7. Juli 2017 zu prüfen, da sie den in der Sache gefällten Entscheid betrifft (vgl. UHLMANN/WÄLLE- BÄR, a.a.O., Art. 46a N. 6). Vollständigkeitshalber bleibt festzuhalten, dass in demselben Verfahren das Recht auf Akteneinsicht grundsätzlich mehrmals geltend gemacht werden kann und dass grundsätzlich – Rechtsmissbrauch und andere wichtige Gründe vorbehalten – auch in Akten Einsicht zu gewähren ist, deren Inhalt der Partei bereits bekannt ist (vgl. STEPHAN C. BRUNNER, VwVG Kommentar zum Bundesgesetz über das Verwaltungsverfahren, a.a.O., Art. 26 N. 17, mit weiteren Hinweisen).</w:t>
      </w:r>
    </w:p>
    <w:p>
      <w:r>
        <w:rPr>
          <w:b/>
        </w:rPr>
        <w:t>E. 3</w:t>
      </w:r>
    </w:p>
    <w:p>
      <w:r>
        <w:t>Bei diesem Ausgang des Verfahrens sind die Gerichtskosten grundsätzlich dem Beschwerdeführer als unterliegender Partei aufzuerlegen (Art. 63 Abs. 1 VwVG). Vorliegend ist allerdings zu berücksichtigen, dass der Be- schwerdeführer zumindest drei Tage nach Ablauf der von ihm angesetzten Frist mit der Beschwerdeerhebung zugewartet hat (s. supra lit. H f.). Es ist daher fraglich, ob ihm vorgeworfen werden könnte, die Rechtsverweige- rungsbeschwerde verfrüht erhoben zu haben. Erfolgte die Beschwerde in guten Treuen, rechtfertigt es sich vorliegend, auf eine Kostenauflage zu ver- zichten. Der Kostenvorschuss von Fr. 4‘000.-- ist dem Beschwerdeführer zu- rückzuzahlen. Für die Zusprechung einer Parteientschädigung trotz Unter- liegens besteht demgegenüber kein Grundlage.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