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RR.2017.163 vom 5. Oktober 2017</w:t>
      </w:r>
    </w:p>
    <w:p>
      <w:r>
        <w:t>Bundesstrafgericht, 2017-10-05, DE</w:t>
      </w:r>
    </w:p>
    <w:p>
      <w:r>
        <w:rPr>
          <w:b/>
        </w:rPr>
        <w:t xml:space="preserve">Quelle: </w:t>
      </w:r>
      <w:r>
        <w:t>https://mcp.opencaselaw.ch/entscheid/bstger_RR.2017.163</w:t>
      </w:r>
    </w:p>
    <w:p>
      <w:r>
        <w:t>FR: TPF RR.2017.163 du 5 octobre 2017</w:t>
      </w:r>
    </w:p>
    <w:p>
      <w:r>
        <w:t>IT: TPF RR.2017.163 del 5 ottobre 2017</w:t>
      </w:r>
    </w:p>
    <w:p>
      <w:pPr>
        <w:pStyle w:val="Heading2"/>
      </w:pPr>
      <w:r>
        <w:t>Regeste</w:t>
      </w:r>
    </w:p>
    <w:p>
      <w:r>
        <w:t>Auslieferung an Deutschland. Auslieferungsentscheid (Art. 55 IRSG).</w:t>
      </w:r>
    </w:p>
    <w:p>
      <w:pPr>
        <w:pStyle w:val="Heading2"/>
      </w:pPr>
      <w:r>
        <w:t>Erwägungen</w:t>
      </w:r>
    </w:p>
    <w:p>
      <w:r>
        <w:rPr>
          <w:b/>
        </w:rPr>
        <w:t>E. 1.1</w:t>
      </w:r>
    </w:p>
    <w:p>
      <w:r>
        <w:t>Für den Auslieferungsverkehr zwischen der Schweiz und Deutschland sind primär das Europäische Auslieferungsübereinkommen vom 13. Dezem- ber 1957 (EAUe; SR 0.353.1), die hierzu ergangenen Zusatzprotokolle vom 17. März 1978 (ZPII EAUe; SR 0.353.12) und vom 10. November 2010 (ZPIII EAUe; SR 0.353.13), welchen beide Staaten beigetreten sind, sowie der Ver- trag vom 13. November 1969 zwischen der Schweizerischen Eidgenossen- schaft und der Bundesrepublik Deutschland über die Ergänzung des EAUe und die Erleichterung seiner Anwendung (ZV EAUe; SR 0.353.913.61) massgebend. Ausserdem gelangen die Bestimmungen der Art. 59 ff. des Übereinkommens vom 19. Juni 1990 zur Durchführung des Übereinkom- mens von Schengen vom 14. Juni 1985 (Schengener Durchführungs- übereinkommen, SDÜ; Abl. L 239 vom 22. September 2000, S. 19-62) zur Anwendung (BGE 136 IV 88 E. 3.1 S. 89), wobei die zwischen den Vertrags- parteien geltenden weitergehenden Bestimmungen aufgrund bilateraler Ab- kommen unberührt bleiben (Art. 59 Abs. 2 SDÜ).</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Auslieferung stellt (BGE 142 IV 250 E. 3; 140 IV 123 E. 2 S. 126; 137 IV 33 E. 2.2.2 S. 40 f.; jeweils m.w.H.). Vorbehalten bleibt die Wahrung der Menschenrechte (BGE 135 IV 212 E. 2.3; 123 II 595 E. 7c S. 617; TPF 2008 24 E. 1.1 S. 26).</w:t>
      </w:r>
    </w:p>
    <w:p>
      <w:r>
        <w:rPr>
          <w:b/>
        </w:rPr>
        <w:t>E. 1.3</w:t>
      </w:r>
    </w:p>
    <w:p>
      <w:r>
        <w:t>Auf Beschwerdeverfahren in internationalen Rechtshilfeangelegenheiten sind zudem die Bestimmungen des Bundesgesetzes vom 20. Dezem- ber 1968 über das Verwaltungsverfahren (Verwaltungsverfahrensgesetz, VwVG; SR 172.021) anwendbar (Art. 39 Abs. 2 lit. b i.V.m. Art. 37 Abs. 2</w:t>
      </w:r>
    </w:p>
    <w:p>
      <w:r>
        <w:t>- 4 -</w:t>
      </w:r>
    </w:p>
    <w:p>
      <w:r>
        <w:t>lit. a Ziff. 1 StBOG), wenn das IRSG nichts anderes bestimmt (siehe Art. 12 Abs. 1 IRSG).</w:t>
      </w:r>
    </w:p>
    <w:p>
      <w:r>
        <w:rPr>
          <w:b/>
        </w:rPr>
        <w:t>E. 2.1</w:t>
      </w:r>
    </w:p>
    <w:p>
      <w:r>
        <w:t>Gegen Auslieferungsentscheide des BJ kann innert 30 Tagen seit der Eröff- nung des Entscheides bei der Beschwerdekammer des Bundesstrafgerichts Beschwerde geführt werden (Art. 55 Abs. 3 i.V.m. Art. 25 Abs. 1 IRSG; Art. 50 Abs. 1 VwVG).</w:t>
      </w:r>
    </w:p>
    <w:p>
      <w:r>
        <w:rPr>
          <w:b/>
        </w:rPr>
        <w:t>E. 2.2</w:t>
      </w:r>
    </w:p>
    <w:p>
      <w:r>
        <w:t>Der Auslieferungsentscheid vom 22. Mai 2017 ist dem Rechtsvertreter des Beschwerdeführers am 29. Mai 2017 zugestellt worden (act. 5.15), womit die Beschwerde vom 23. Juni 2017 fristgerecht erhoben worden ist. Der Be- schwerdeführer ist als Adressat des Auslieferungsentscheides ohne Weite- res zu dessen Anfechtung legitimiert. Auf die Beschwerde ist einzutreten.</w:t>
      </w:r>
    </w:p>
    <w:p>
      <w:r>
        <w:rPr>
          <w:b/>
        </w:rPr>
        <w:t>E. 3</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 Entscheide des Bundesstrafgerichts RR.2016.300 vom 28. Dezember 2016, E. 3; RR.2016.297 vom 21. Dezember 2016, E. 2.1).</w:t>
      </w:r>
    </w:p>
    <w:p>
      <w:r>
        <w:rPr>
          <w:b/>
        </w:rPr>
        <w:t>E. 4.1</w:t>
      </w:r>
    </w:p>
    <w:p>
      <w:r>
        <w:t>Der Beschwerdeführer bringt vor, die Sachverhaltsdarstellung im Ausliefe- rungsersuchen enthalte offensichtliche Fehler, Lücken und Widersprüche. Das Oberlandesgericht Frankfurt, welches am 6. Juni 2012 seine Revision als unbegründet verworfen habe, hätte aufgrund der schwerwiegenden Ver- fahrensfehler in dubio pro reo entscheiden müssen (act. 1 S. 2 ff.).</w:t>
      </w:r>
    </w:p>
    <w:p>
      <w:r>
        <w:rPr>
          <w:b/>
        </w:rPr>
        <w:t>E. 4.2</w:t>
      </w:r>
    </w:p>
    <w:p>
      <w:r>
        <w:t>Unter dem Gesichtspunkt des hier massgebenden Art. 12 EAUe reicht es grundsätzlich aus, wenn die Angaben im Auslieferungsersuchen sowie in dessen Ergänzungen und Beilagen es den schweizerischen Behörden er- möglichen zu prüfen, ob ausreichende Anhaltspunkte für eine ausliefe- rungsfähige Straftat vorliegen, ob Verweigerungsgründe gegeben sind bzw. in welchem Umfang dem Begehren allenfalls entsprochen werden kann. Der Rechtshilferichter muss namentlich prüfen können, ob die Voraussetzung der beidseitigen Strafbarkeit erfüllt ist. Der Rechtshilferichter hat weder Tat- noch Schuldfragen zu prüfen und grundsätzlich auch keine Beweiswürdi- gung vorzunehmen, sondern ist vielmehr an die Sachverhaltsdarstellung im Ersuchen gebunden, soweit sie nicht durch offensichtliche Fehler, Lücken</w:t>
      </w:r>
    </w:p>
    <w:p>
      <w:r>
        <w:t>- 5 -</w:t>
      </w:r>
    </w:p>
    <w:p>
      <w:r>
        <w:t>oder Widersprüche sofort entkräftet wird (vgl. BGE 133 IV 76 E. 2.2; 132 II 81 E. 2.1; 125 II 250 E. 5b, je m.w.H.). Dies gilt umso mehr, wenn – wie hier – bereits rechtskräftige Strafurteile der Justizbehörden des ersuchenden Staates vorliegen.</w:t>
      </w:r>
    </w:p>
    <w:p>
      <w:r>
        <w:rPr>
          <w:b/>
        </w:rPr>
        <w:t>E. 4.3</w:t>
      </w:r>
    </w:p>
    <w:p>
      <w:r>
        <w:t>Entgegen den Ausführungen des Beschwerdeführers sind der Sachdarstel- lung der ersuchenden Behörde (act. 5.2), auf welche hiermit verwiesen wird, keine offensichtlichen Fehler, Lücken oder Widersprüche zu entnehmen, welche den Sachverhaltsvorwurf im Auslieferungsersuchen sofort entkräften würden. Solche Mängel macht der Beschwerdeführer auch nicht konkret gel- tend. Er beschränkt sich vielmehr darauf, eine unzulässige Gegendarstel- lung zu den betreffenden Ereignissen zu präsentieren.</w:t>
      </w:r>
    </w:p>
    <w:p>
      <w:r>
        <w:rPr>
          <w:b/>
        </w:rPr>
        <w:t>E. 4.4</w:t>
      </w:r>
    </w:p>
    <w:p>
      <w:r>
        <w:t>Inwiefern schwerwiegende Verfahrensfehler vorliegen sollen, hat der Be- schwerdeführer mit seinen Vorbringen ebenso wenig aufgezeigt und ist auch nicht ersichtlich. Weder seinen Vorbringen noch seinen Beilagen sind Hin- weise zu entnehmen, dass das Strafverfahren in Deutschland den Grund- sätzen der EMRK oder dem UNO-Pakt II nicht entsprochen oder andere schwere Mängel aufgewiesen hat. Die allfälligen Verletzungen seiner Ver- fahrensrechte hätte der Beschwerdeführer in Deutschland vor den überge- ordneten Instanzen rügen können.</w:t>
      </w:r>
    </w:p>
    <w:p>
      <w:r>
        <w:rPr>
          <w:b/>
        </w:rPr>
        <w:t>E. 4.5</w:t>
      </w:r>
    </w:p>
    <w:p>
      <w:r>
        <w:t>Die vorstehenden Rügen des Beschwerdeführers erweisen sich somit alle- samt als offensichtlich unbegründet.</w:t>
      </w:r>
    </w:p>
    <w:p>
      <w:r>
        <w:rPr>
          <w:b/>
        </w:rPr>
        <w:t>E. 5.1</w:t>
      </w:r>
    </w:p>
    <w:p>
      <w:r>
        <w:t>Der Beschwerdeführer macht in einem nächsten Punkt geltend, er habe sei- nen Rechtsvertreter in Deutschland damit beauftragt, „Anträge auf Therapie statt Strafe, Wiederaufnahme der Strafverfahren und erneutes Gnadenge- such zu stellen“ (act. 1 S. 10).</w:t>
      </w:r>
    </w:p>
    <w:p>
      <w:r>
        <w:rPr>
          <w:b/>
        </w:rPr>
        <w:t>E. 5.2</w:t>
      </w:r>
    </w:p>
    <w:p>
      <w:r>
        <w:t>Sind die Auslieferungsvoraussetzungen nach den einleitend genannten Staatsverträgen erfüllt, ist die Auslieferung zu bewilligen. Die geltend ge- machten Anträge vermögen das Auslieferungsverfahren nicht zu hemmen. Auch diese Rüge geht nach dem Gesagten fehl.</w:t>
      </w:r>
    </w:p>
    <w:p>
      <w:r>
        <w:rPr>
          <w:b/>
        </w:rPr>
        <w:t>E. 6</w:t>
      </w:r>
    </w:p>
    <w:p>
      <w:r>
        <w:t>Soweit der Beschwerdeführer die Vollstreckung der Strafe in der Schweiz beantragen wollte, ist Folgendes anzuführen. Gemäss Art. 37 Abs. 1 IRSG kann die Auslieferung abgelehnt werden, wenn die Schweiz die Vollstre- ckung des ausländischen Strafentscheides übernehmen kann und dies im Hinblick auf die soziale Wiedereingliederung des Verfolgten angezeigt er- scheint. Eine Auslieferung darf nach ständiger Rechtsprechung in Fällen, in</w:t>
      </w:r>
    </w:p>
    <w:p>
      <w:r>
        <w:t>- 6 -</w:t>
      </w:r>
    </w:p>
    <w:p>
      <w:r>
        <w:t>welchen wie vorliegend das EAUe Anwendung findet (s. supra E. 1.1), aller- dings nicht gestützt auf Art. 37 Abs. 1 IRSG verweigert werden (BGE 129 II 100 E. 3.1 und 122 II 485 E. 3a, b; s. Entscheid des Bundesstrafgerichts RR.2008.257 vom 4. Dezember 2008, E. 5.2; LAURENT MOREILLON, Entraide internationale en matière pénale, Basel 2004, Art. 37 IRSG N. 4). Da vorlie- gend eine Auslieferungsverpflichtung nach EAUe besteht, kann sich der Be- schwerdeführer im Lichte der vorstehend erläuterten, klaren und konstanten Rechtsprechung demnach nicht auf Art. 37 Abs. 1 IRSG berufen.</w:t>
      </w:r>
    </w:p>
    <w:p>
      <w:r>
        <w:rPr>
          <w:b/>
        </w:rPr>
        <w:t>E. 7.1</w:t>
      </w:r>
    </w:p>
    <w:p>
      <w:r>
        <w:t>Gegen seine Auslieferung bringt der Beschwerdeführer schliesslich vor, diese hätte gravierende Folgen für ihn und seine Familie. Werde sein schlechter psychischer Zustand berücksichtigt, sei ein Rückfall in die Dro- gensucht, mitverursacht durch die Trennung bzw. das Herausreissen aus der Familie nicht auszuschliessen. Bei einer Ablehnung seiner Auslieferung würde ihm die soziale Eingliederung, die Weiterbildung zum systemischen Coach und eine selbstständige Tätigkeit ermöglicht, welche ein selbstverant- wortliches Leben für ihn und seine Familie möglich mache und die bisher vorhandene und künftige soziale Festigung sichere. Weiter werde ihm so er- möglicht, die in der Schweiz 2015 begonnene Psychotherapie weiterzufüh- ren und zum erfolgreichen Ende zu bringen (act. 1 S. 10).</w:t>
      </w:r>
    </w:p>
    <w:p>
      <w:r>
        <w:rPr>
          <w:b/>
        </w:rPr>
        <w:t>E. 7.2</w:t>
      </w:r>
    </w:p>
    <w:p>
      <w:r>
        <w:t>Grundsätzlich rechtfertigt Art. 8 Ziff. 2 EMRK Eingriffe in das Recht auf Schutz der Familie als Massnahme zur Bekämpfung des Verbrechens (BGE 117 Ib 210 E. 3cc m.w.H). Dies gilt namentlich für den Strafvollzug, soweit Gefangenenbesuche durch Angehörige gewährleistet sind. Der blosse Umstand, dass der Gefangene sehr weit von seinen nächsten Ver- wandten entfernt in Haft gehalten wird, so dass Besuche erschwert werden, führt zu keinem grundrechtswidrigen Eingriff in das Privat- und Familienleben (vgl. dazu die Rechtsprechung der Europäischen Kommission für Men- schenrechte, zit. in: JOCHEN A. FROWEIN/WOLFGANG PEUKERT, EMRK Kom- mentar, 2. Aufl., Kehl u.a. 1996, Art. 8 N. 27; ebenso Urteil des Bundesge- richts 1A.199/2006 vom 2. November 2006, E. 3.1). Gemäss ständiger, res- triktiver Rechtsprechung kann Art. 8 EMRK einer Auslieferung nur aus- nahmsweise bei aussergewöhnlichen familiären Verhältnissen entgegenste- hen (BGE 129 II 100 E. 3.5 m.w.H.; zuletzt Urteil des Bundesgerichts 1C_484/2015 vom 28. September 2015, E. 1.3; Entscheide des Bundesstraf- gerichts RR.2016.297 vom 21. Dezember 2016, E. 6.2; RR.2016.73 vom 23. Juni 2016, E. 3.1; RR.2016.1 vom 4. April 2016, E. 9.2; RR.2014.229 vom 14. Januar 2015, E. 6; RR.2011.212 vom 20. Oktober 2011, E. 3.1; RR.2009.234 vom 11. Februar 2010, E. 10.2).</w:t>
      </w:r>
    </w:p>
    <w:p>
      <w:r>
        <w:t>- 7 -</w:t>
      </w:r>
    </w:p>
    <w:p>
      <w:r>
        <w:rPr>
          <w:b/>
        </w:rPr>
        <w:t>E. 7.3</w:t>
      </w:r>
    </w:p>
    <w:p>
      <w:r>
        <w:t>Aussergewöhnliche familiäre Verhältnisse, welche nach den erwähnten Grundsätzen einer Auslieferung ausnahmsweise entgegenstehen könnten, werden vom Beschwerdeführer keine geltend gemacht und sind auch nicht ersichtlich. Eine Einschränkung des Familienlebens kann ebenso wenig wie in jedem anderen Straffall vermieden werden, in welchem eine freiheitsent- ziehende Sanktion zu verhängen ist. Ebenso steht die Gesundheit des Be- schwerdeführers der Auslieferung nicht entgegen. So spricht nichts gegen eine Weiterführung der psychotherapeutischen Behandlung in Deutschland.</w:t>
      </w:r>
    </w:p>
    <w:p>
      <w:r>
        <w:rPr>
          <w:b/>
        </w:rPr>
        <w:t>E. 8</w:t>
      </w:r>
    </w:p>
    <w:p>
      <w:r>
        <w:t>Andere Auslieferungshindernisse werden weder geltend gemacht noch sind solche ersichtlich. Die Auslieferung des Beschwerdeführers an Deutschland ist daher zulässig und die Beschwerde abzuweisen.</w:t>
      </w:r>
    </w:p>
    <w:p>
      <w:r>
        <w:rPr>
          <w:b/>
        </w:rPr>
        <w:t>E. 9.1</w:t>
      </w:r>
    </w:p>
    <w:p>
      <w:r>
        <w:t>Der Beschwerdeführer beantragt, es sei ihm die unentgeltliche Rechtspflege zu gewähren (RP.2017.41).</w:t>
      </w:r>
    </w:p>
    <w:p>
      <w:r>
        <w:rPr>
          <w:b/>
        </w:rPr>
        <w:t>E. 9.2</w:t>
      </w:r>
    </w:p>
    <w:p>
      <w:r>
        <w:t>Die Beschwerdekammer befreit eine Partei, die nicht über die erforderlichen Mittel verfügt, auf Antrag von der Bezahlung der Verfahrenskosten, sofern ihr Begehren nicht aussichtslos erscheint (Art. 65 Abs. 1 VwVG). Gemäss der bundesgerichtlichen Rechtsprechung sind Prozessbegehren als aus- sichtslos anzusehen, wenn die Gewinnaussichten beträchtlich geringer er- scheinen als die Verlustgefahren. Dagegen gilt ein Begehren nicht als aus- sichtslos, wenn sich Gewinnaussichten und Verlustgefahren ungefähr die Waage halten oder jene nur wenig geringer sind als diese (BGE 142 III 138 E. 5.1 S. 139 f.; 139 III 475 E. 2.2 S. 476).</w:t>
      </w:r>
    </w:p>
    <w:p>
      <w:r>
        <w:rPr>
          <w:b/>
        </w:rPr>
        <w:t>E. 9.3</w:t>
      </w:r>
    </w:p>
    <w:p>
      <w:r>
        <w:t>Es obliegt zudem grundsätzlich dem Gesuchsteller, seine Einkommens- und Vermögensverhältnisse umfassend darzulegen und soweit als möglich zu belegen, wobei die Belege über sämtliche finanziellen Verpflichtungen des Gesuchstellers sowie über seine Einkommens- und Vermögensverhältnisse Aufschluss zu geben haben. Kommt der Gesuchsteller dieser umfassenden Pflicht zur Offenlegung seiner finanziellen Situation nicht nach bzw. ergeben die vorgelegten Urkunden und die gemachten Angaben kein kohärentes und widerspruchsfreies Bild seiner finanziellen Verhältnisse, so kann sein Ge- such mangels ausreichender Substanziierung oder mangels Bedürftigkeits- nachweis abgewiesen werden (vgl. ALFRED BÜHLER, Die Prozessarmut, in: Gerichtskosten, Parteikosten, Prozesskaution, unentgeltliche Prozessfüh- rung, Bern 2001, S. 189 f.; BGE 125 IV 161 E. 4a S. 165; Entscheid des Bundesstrafgerichts BH.2006.6 vom 18. April 2006, E. 6.1).</w:t>
      </w:r>
    </w:p>
    <w:p>
      <w:r>
        <w:t>- 8 -</w:t>
      </w:r>
    </w:p>
    <w:p>
      <w:r>
        <w:rPr>
          <w:b/>
        </w:rPr>
        <w:t>E. 9.4</w:t>
      </w:r>
    </w:p>
    <w:p>
      <w:r>
        <w:t>Anhand des oben Ausgeführten (E. 4 – 8) erweist sich die Beschwerde of- fensichtlich als aussichtslos im Sinne von Art. 65 Abs. 1 VwVG. Demzufolge ist das Gesuch des Beschwerdeführers um unentgeltliche Rechtspflege ab- zuweisen. Die eingeschriebene Aufforderung zur Einreichung des ausgefüll- ten Formulars samt Beilagen zu seinem Gesuch um unentgeltliche Rechts- pflege holte der Beschwerdeführer innerhalb der Abholfrist sodann nicht ab. Sie gilt vorliegend als zugestellt. Der Beschwerdeführer hat weder das For- mular ausgefüllt noch die erforderlichen Belege zu seinem Gesuch einge- reicht. Auch aus diesem Grund wäre daher sein Gesuch um unentgeltliche Rechtspflege androhungsgemäss abzuweisen gewesen. Der womöglich schwierigen wirtschaftlichen Situation, kann aber mit einer reduzierten Ge- richtsgebühr Rechnung getragen werden.</w:t>
      </w:r>
    </w:p>
    <w:p>
      <w:r>
        <w:rPr>
          <w:b/>
        </w:rPr>
        <w:t>E. 10</w:t>
      </w:r>
    </w:p>
    <w:p>
      <w:r>
        <w:t>Bei diesem Ausgang des Verfahrens sind die Gerichtskosten dem Be- schwerdeführer aufzuerlegen (Art. 63 Abs. 1 VwVG). Die Gerichtsgebühr ist auf Fr. 2‘000.-- festzusetzen (Art. 63 Abs. 5 VwVG i.V.m. Art. 73 StBOG so- wie Art. 5 und 8 Abs. 3 lit. a des Reglements des Bundesstrafgerichts vom 31. August 2010 über die Kosten, Gebühren und Entschädigungen in Bun- 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