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RR.2017.13 vom 6. September 2017</w:t>
      </w:r>
    </w:p>
    <w:p>
      <w:r>
        <w:t>Bundesstrafgericht, 2017-09-06, DE</w:t>
      </w:r>
    </w:p>
    <w:p>
      <w:r>
        <w:rPr>
          <w:b/>
        </w:rPr>
        <w:t xml:space="preserve">Quelle: </w:t>
      </w:r>
      <w:r>
        <w:t>https://mcp.opencaselaw.ch/entscheid/bstger_RR.2017.13</w:t>
      </w:r>
    </w:p>
    <w:p>
      <w:r>
        <w:t>FR: TPF RR.2017.13 du 6 septembre 2017</w:t>
      </w:r>
    </w:p>
    <w:p>
      <w:r>
        <w:t>IT: TPF RR.2017.13 del 6 settembre 2017</w:t>
      </w:r>
    </w:p>
    <w:p>
      <w:pPr>
        <w:pStyle w:val="Heading2"/>
      </w:pPr>
      <w:r>
        <w:t>Regeste</w:t>
      </w:r>
    </w:p>
    <w:p>
      <w:r>
        <w:t>Internationale Rechtshilfe in Strafsachen an Brasilien. Beschlagnahme von Vermögenswerten (Art. 80e Abs. 2 lit. a IRSG). Beschwerde gegen Zwischenverfügung. Gegenstandslosigkeit.</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„Rechtshilfevertrag Brasilien“) massgebend. Ausserdem gelangen vorliegend das Übereinkommen vom 17. Dezem- ber 1997 über die Bekämpfung der Bestechung ausländischer Amtsträger im internationalen Geschäftsverkehr (SR 0.311.21) sowie die Art. 43 ff. des Übereinkommens vom 31. Oktober 2003 der Vereinten Nationen gegen Kor- ruption (UNCAC; SR 0.311.56) zur Anwendung.</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 rung der Menschenrechte (BGE 135 IV 212 E. 2.3; 123 II 595 E. 7c S. 617; TPF 2008 24 E. 1.1 S. 26). Auf Beschwerdeverfahren in internationalen Rechtshilfeangelegenheiten sind zudem die Bestimmungen des Bundesge- setzes vom 20. Dezember 1968 über das Verwaltungsverfahren (Verwal- tungsverfahrensgesetz, VwVG; SR 172.021) anwendbar (Art. 39 Abs. 2 lit. b i.V.m. Art. 37 Abs. 2 lit. a Ziff. 1 StBOG), wenn das IRSG nichts anderes bestimmt (siehe Art. 12 Abs. 1 IRSG).</w:t>
      </w:r>
    </w:p>
    <w:p>
      <w:r>
        <w:rPr>
          <w:b/>
        </w:rPr>
        <w:t>E. 2</w:t>
      </w:r>
    </w:p>
    <w:p>
      <w:r>
        <w:t>Die Bundesanwaltschaft ist mit Eintretens- und Zwischenverfügung vom 15. März 2017 auf das brasilianische Rechtshilfeersuchen vom 17. Ja- nuar 2017 eingetreten und hat die mit Verfügungen vom 10. Januar 2017 vor- sorglich angeordneten Kontosperren bestätigt und deren Aufrechterhaltung verfügt (act. 17.1). Damit sind die Verfügungen vom 10. Januar 2017 über die vorsorglich angeordneten Kontosperren aufgehoben worden, weshalb im vorliegenden Verfahren das Anfechtungsobjekt weggefallen und das Be- schwerdeverfahren gegenstandslos geworden ist.</w:t>
      </w:r>
    </w:p>
    <w:p>
      <w:r>
        <w:rPr>
          <w:b/>
        </w:rPr>
        <w:t>E. 3</w:t>
      </w:r>
    </w:p>
    <w:p>
      <w:r>
        <w:t>Es entspricht der konstanten Praxis des Beschwerdekammer, dass bei Ge- genstandslosigkeit des Beschwerdeverfahrens in Rechtshilfesachen für den</w:t>
      </w:r>
    </w:p>
    <w:p>
      <w:r>
        <w:t>- 5 -</w:t>
      </w:r>
    </w:p>
    <w:p>
      <w:r>
        <w:t>Entscheid über die Kosten- und Entschädigungsfolgen Art. 72 des Bundes- gesetzes vom 4. Dezember 1947 über den Bundeszivilprozess (BZP; SR 273) sinngemäss zur Anwendung gelangt (TPF 2011 118 E. 2.2.2; Ent- scheide des Bundesstrafgerichts RR.2014.116 vom 13. Mai 2015, E. 3.1; RR.2014.173 vom 30. April 2015, E. 6.2; RR.2014.252 vom 20. November 2014, E. 2; RR.2007.91 vom 4. September 2007). Gemäss dieser Bestim- mung entscheidet das Gericht mit summarischer Begründung über die Pro- zesskosten aufgrund der Sachlage vor Eintritt des Erledigungsgrundes. Bei der Beurteilung der Kosten- und Entschädigungsfolge ist somit in erster Linie auf den mutmasslichen Ausgang des Prozesses abzustellen, wobei nicht auf alle Rügen einzeln und detailliert einzugehen ist (BGE 118 Ia 488 E. 4a).</w:t>
      </w:r>
    </w:p>
    <w:p>
      <w:r>
        <w:rPr>
          <w:b/>
        </w:rPr>
        <w:t>E. 4.1</w:t>
      </w:r>
    </w:p>
    <w:p>
      <w:r>
        <w:t>Bei den angefochtenen Verfügungen der Beschwerdegegnerin vom 10. Ja- nuar 2017 handelt es sich um Zwischenverfügungen, welche die Beschwer- degegnerin gestützt auf Art. 80a i.V.m. Art. 18 Abs. 1 IRSG und Art. 7 Rechtshilfevertrag Brasilien erlassen hat (vgl. Entscheid der [II.] Beschwer- dekammer RR.2017.149/150 vom 13. Dezember 2007, E. 3.2). Diese schliessen das Rechtshilfeverfahren weder ganz noch teilweise ab. Dass die Verfügungen angeblich ohne Rechtsgrundlage erlassen worden seien, än- dert an deren Qualifikation als Zwischenverfügung – entgegen der Ansicht der Beschwerdeführer – nichts. Der Schlussverfügung vorangehende Zwi- schenverfügungen können selbständig angefochten werden, sofern sie durch die Beschlagnahme von Vermögenswerten und Wertgegenständen einen unmittelbaren und nicht wieder gutzumachenden Nachteil bewirken (Art. 80e Abs. 2 lit. a IRSG). Ein solcher nicht wieder gutzumachender Nach- teil kommt insbesondere bei drohenden Verletzungen von konkreten vertrag- lichen Verpflichtungen, unmittelbar bevorstehenden Betreibungsschritten, drohendem Entzug von behördlichen Bewilligungen oder Entgehen von kon- kreten Geschäften in Betracht. Im Weiteren liegt ein unmittelbarer und nicht wieder gutzumachender Nachteil vor, wenn die Beschlagnahme Mittel be- trifft, die eine Person für ihren Unterhalt benötigt, und sie angesichts der Kontensperre ihre Lebenshaltungskosten nicht mehr decken kann. Die bloss abstrakte Möglichkeit, dass sich eine Beschlagnahme von Vermögenswer- ten negativ auf die Geschäftstätigkeit oder den Vermögensbestand der rechtssuchenden Person auswirken könnte, für die Annahme eines nicht wieder gutzumachenden Nachteils im Sinne von Art. 80e Abs. 2 lit. a IRSG nicht ausreichend. Der drohende unmittelbare und nicht wieder gutzuma- chende Nachteil muss vom Betroffenen konkret glaubhaft gemacht werden. Die blosse Behauptung eines solchen Nachteils genügt nicht (zum Ganzen BGE 130 II 329 E. 2 S. 332; 128 II 353 E. 3 S. 354, je mit Hinweisen; Urteile des Bundesgerichts 1A.81/2006 vom 21. Juli 2006, E. 2; 1A.265/2000 vom</w:t>
      </w:r>
    </w:p>
    <w:p>
      <w:r>
        <w:t>- 6 -</w:t>
      </w:r>
    </w:p>
    <w:p>
      <w:r>
        <w:t>28. November 2000, E. 2.c/cc und 1A.183/2006 vom 1. Februar 2007, E. 1.2, 2.2; Entscheid des Bundesstrafgerichts RR.2013.251 vom 8. Oktober 2013).</w:t>
      </w:r>
    </w:p>
    <w:p>
      <w:r>
        <w:rPr>
          <w:b/>
        </w:rPr>
        <w:t>E. 4.2</w:t>
      </w:r>
    </w:p>
    <w:p>
      <w:r>
        <w:t>Die Beschwerdeführer machen dazu geltend, der Beschwerdeführer 1 und dessen Frau hätten im April 2016 die beschlagnahmten Vermögenswerte in der Schweiz den brasilianischen Steuerbehörden im Rahmen eines Steuer- amnestieprogrammes offengelegt und eine Steuernachzahlung für diese bis- her nicht deklarierten Vermögenswerte von rund USD 2.4 Mio. vereinbart. Diese vertraglich vereinbarte Steuernachzahlung sei mittlerweile überfällig. Bei Aufrechterhaltung der Kontosperren sei es dem Beschwerdeführer 1 nicht möglich, dieser Steuerschuld bzw. der vertraglichen Verpflichtung nachzukommen. Die brasilianischen Steuerbehörden würden die Vereinba- rung wohl widerrufen, und es würde ein Strafverfahren drohen (act. 1 S. 4).</w:t>
      </w:r>
    </w:p>
    <w:p>
      <w:r>
        <w:rPr>
          <w:b/>
        </w:rPr>
        <w:t>E. 4.3</w:t>
      </w:r>
    </w:p>
    <w:p>
      <w:r>
        <w:t>Selbst wenn die Vereinbarung mit den brasilianischen Steuerbehörden durch Dokumente belegt wäre, bliebe es bei einer reinen Behauptung, dass der Beschwerdeführer 1 wegen der Kontosperren der vertraglichen Vereinba- rung nicht nachkommen könne. So wird nämlich in keiner Weise dargelegt, dass der Beschwerdeführer 1 und dessen Ehefrau über keine weiteren Ver- mögenswerte verfügen, um die Steuerschuld zu begleichen. Damit bleibt es bei einer blossen Behauptung des nicht wiedergutzumachenden Nachteils, weshalb auf die Beschwerde des Beschwerdeführers 1 nicht einzutreten ge- wesen wäre.</w:t>
      </w:r>
    </w:p>
    <w:p>
      <w:r>
        <w:rPr>
          <w:b/>
        </w:rPr>
        <w:t>E. 4.4</w:t>
      </w:r>
    </w:p>
    <w:p>
      <w:r>
        <w:t>Bezüglich der Beschwerdeführer 2 und 3 enthält die Beschwerde keinerlei Ausführungen dazu, inwieweit die Kontosperren für diese einen unmittelba- ren und nicht wieder gutzumachenden Nachteil bewirken könnten, weshalb auch auf ihre Beschwerden nicht einzutreten gewesen wäre.</w:t>
      </w:r>
    </w:p>
    <w:p>
      <w:r>
        <w:rPr>
          <w:b/>
        </w:rPr>
        <w:t>E. 5</w:t>
      </w:r>
    </w:p>
    <w:p>
      <w:r>
        <w:t>Nach dem Gesagten rechtfertigt es sich, den Beschwerdeführern in analoger Anwendung von Art. 72 BZP die Kosten des gegenstandslos gewordenen Beschwerdeverfahrens aufzuerlegen (vgl. Art. 63 VwVG i.V.m. Art. 39 Abs. 2 lit. b StBOG und Art. 22 Abs. 3 BStKR). Aus denselben Gründen entfällt eine Parteientschädigung. Unter Berücksichtigung des Aufwands ist die Gerichts- gebühr vorliegend auf Fr. 3‘000.-- festzusetzen (Art. 8 Abs. 3 lit. a BStKR), unter Verrechnung des entsprechenden Betrages aus dem geleisteten Kos- tenvorschuss von Fr. 6‘000.--. Die Bundesstrafgerichtskasse ist anzuweisen, den Beschwerdeführern den Restbetrag von Fr. 3‘000.-- zurückzuerstatten.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