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RR.2017.128 vom 19. Oktober 2017</w:t>
      </w:r>
    </w:p>
    <w:p>
      <w:r>
        <w:t>Bundesstrafgericht, 2017-10-19, DE</w:t>
      </w:r>
    </w:p>
    <w:p>
      <w:r>
        <w:rPr>
          <w:b/>
        </w:rPr>
        <w:t xml:space="preserve">Quelle: </w:t>
      </w:r>
      <w:r>
        <w:t>https://mcp.opencaselaw.ch/entscheid/bstger_RR.2017.128</w:t>
      </w:r>
    </w:p>
    <w:p>
      <w:r>
        <w:t>FR: TPF RR.2017.128 du 19 octobre 2017</w:t>
      </w:r>
    </w:p>
    <w:p>
      <w:r>
        <w:t>IT: TPF RR.2017.128 del 19 ottobre 2017</w:t>
      </w:r>
    </w:p>
    <w:p>
      <w:pPr>
        <w:pStyle w:val="Heading2"/>
      </w:pPr>
      <w:r>
        <w:t>Regeste</w:t>
      </w:r>
    </w:p>
    <w:p>
      <w:r>
        <w:t>Auslieferung an Russland. Beschwerde gegen Anordnung eines Gutachtens.</w:t>
      </w:r>
    </w:p>
    <w:p>
      <w:pPr>
        <w:pStyle w:val="Heading2"/>
      </w:pPr>
      <w:r>
        <w:t>Erwägungen</w:t>
      </w:r>
    </w:p>
    <w:p>
      <w:r>
        <w:rPr>
          <w:b/>
        </w:rPr>
        <w:t>E. 1.1</w:t>
      </w:r>
    </w:p>
    <w:p>
      <w:r>
        <w:t>Für den Auslieferungsverkehr zwischen Russland und der Schweiz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w:t>
      </w:r>
    </w:p>
    <w:p>
      <w:r>
        <w:t>- 5 -</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 ses geringere Anforderungen an die Auslieferung stellt (BGE 142 IV 250 E. 3; 140 IV 123 E. 2; 137 IV 33 E. 2.2.2; 136 IV 82 E. 3.1; 135 IV 212 E. 2.3; 122 II 140 E. 2). Vorbehalten bleibt die Wahrung der Menschenrechte (BGE 135 IV 212 E. 2.3; 129 II 100 E. 3.3; 123 II 595 E. 7c; TPF 2008 24 E. 1.1; ZIMMERMANN, La coopération judiciare internationale en matière pénale, 4. Aufl., Bern 2014, N. 211 ff., 223 ff., 680 ff.).</w:t>
      </w:r>
    </w:p>
    <w:p>
      <w:r>
        <w:rPr>
          <w:b/>
        </w:rPr>
        <w:t>E. 2</w:t>
      </w:r>
    </w:p>
    <w:p>
      <w:r>
        <w:t>Auf Beschwerdeverfahren in internationalen Rechtshilfeangelegenheiten sind darüber hinaus die Bestimmungen des Bundesgesetzes vom 20. De- zember 1968 über das Verwaltungsverfahren (Verwaltungsverfahrensge- setz, VwVG; SR 172.021) anwendbar (Art. 39 Abs. 2 lit. b des Bundesgeset- zes vom 19. März 2010 über die Organisation der Strafbehörden des Bun- des [Strafbehördenorganisationsgesetz, StBOG; SR 173.71]; ZIMMERMANN, a.a.O., N. 275).</w:t>
      </w:r>
    </w:p>
    <w:p>
      <w:r>
        <w:rPr>
          <w:b/>
        </w:rPr>
        <w:t>E. 3.1</w:t>
      </w:r>
    </w:p>
    <w:p>
      <w:r>
        <w:t>Erstinstanzliche Verfügungen der kantonalen Behörden und der Bundesbe- hörden unterliegen, soweit das Gesetz nichts anderes bestimmt, unmittelbar der Beschwerde an die Beschwerdekammer des Bundesstrafgerichts (Art. 25 Abs. 1 IRSG i.V.m. Art. 50 Abs. 1 VwVG und Art. 12 Abs. 1 IRSG). Soweit Zwischenentscheide selbständig angefochten werden, ist die Be- schwerde zulässig, wenn der angefochtene Entscheid einen nicht wieder gutzumachenden Nachteil bewirken kann (Art. 46 Abs. 1 lit. a VwVG i.V.m. Art. 12 Abs. 1 IRSG). Die Beschwerdelegitimation richtet sich nach Art. 21 Abs. 3 IRSG. Demnach können Personen, gegen die sich das ausländische Strafverfahren richtet, Verfügungen nur anfechten, wenn eine Rechtshilfe- massnahme sie persönlich und direkt betrifft und sie ein schutzwürdiges In- teresse an deren Aufhebung und Änderung haben.</w:t>
      </w:r>
    </w:p>
    <w:p>
      <w:r>
        <w:t>- 6 -</w:t>
      </w:r>
    </w:p>
    <w:p>
      <w:r>
        <w:rPr>
          <w:b/>
        </w:rPr>
        <w:t>E. 3.2.1</w:t>
      </w:r>
    </w:p>
    <w:p>
      <w:r>
        <w:t>Der Beschwerdeführer ficht das Schreiben des Beschwerdegegners vom 15. Mai 2017 an, mit welchem dieser Dr. B. mit der Begutachtung des Be- schwerdeführers beauftragt hat. Nach Ansicht des Beschwerdeführers han- delt es sich bei diesem Schreiben um eine (Zwischen-)Verfügung im Sinne von Art. 5 und 46 VwVG (act. 1, S. 25).</w:t>
      </w:r>
    </w:p>
    <w:p>
      <w:r>
        <w:rPr>
          <w:b/>
        </w:rPr>
        <w:t>E. 3.2.2</w:t>
      </w:r>
    </w:p>
    <w:p>
      <w:r>
        <w:t>Ob die blosse Beauftragung zu einer medizinischen Begutachtung unter den Verfügungsbegriff von Art. 5 VwVG fällt, ist fraglich (im Allgemeinen zum Be- griff von Verfügungen vgl. KIENER/RÜTSCHE/KUHN, Öffentliches Verfahrens- recht, 2. Aufl., Zürich/St. Gallen 2015, S. 90 ff.). Das Bundesgericht hatte zwar in seiner früheren Praxis im Bereich des Sozialversicherungsrechts der Anordnung von medizinischen Gutachten grundsätzlich keinen Verfügungs- charakter eingeräumt (vgl. BGE 132 V 376; 132 V 93). Diese Praxis wurde indes mit dem Grundsatzurteil BGE 137 V 210 in Bezug auf bei Medizini- schen Abklärungsstellen (MEDAS) eingeholte polydisziplinäre Administrativ- und Gerichtsgutachten als Folge gestärkter Partizipationsrechte geändert. Das Bundesgericht hielt deshalb fest, dass die Anordnung eines Administra- tivgutachtens daher (bei fehlendem Konsens) in Form eines Zwischenent- scheides zu kleiden sei (BGE 137 V 310 E. 3.4.2.6; vgl. auch BGE 141 V 330 E. 3.2).</w:t>
      </w:r>
    </w:p>
    <w:p>
      <w:r>
        <w:t>Ob sich diese Überlegungen auch auf die Anordnung bzw. Inauftraggebung von medizinischen Gutachten im Bereich der internationalen Rechtshilfe übertragen lassen und es sich beim angefochtenen Schreiben vom 15. Mai 2017 um eine Verfügung im Sinne von Art. 5 VwVG handelt, kann vorliegend offen gelassen werden. Denn selbst wenn diesem Verfügungs- charakter zuzuschreiben wäre, fehlte es für dessen Anfechtbarkeit an der Voraussetzung des nichtwiedergutzumachenden Nachteils (Art. 46 Abs. 1 lit. a VwVG). Entgegen der Ansicht des Beschwerdeführers trifft es nämlich nicht zu, dass das von Dr. B. erstellte Gutachten – welches gemäss Aussa- gen des Beschwerdeführers auf ungenügenden Angaben seitens des Be- schwerdegegners beruhe und ohne Kenntnis der medizinischen Akten er- stellt worden sei – nachträglich nicht mehr korrigiert werden könne. Dem Be- schwerdeführer ist die Möglichkeit eingeräumt worden, sich zum Gutachten von Dr. B. zu äussern (act. 17). Dies hat er denn auch mit Eingabe von 2. Ok- tober 2017 getan. Er beantragte unter anderem, das Gutachten vom 17. Au- gust 2017 sei nicht zu beachten und es sei Dr. B. anzuweisen, eine Exper- tengruppe zu bilden, die die Begutachtung des Beschwerdeführers vor- nehme (act. 18). Ein allfällig, die Anträge des Beschwerdeführers ablehnen- der Entscheid durch den Beschwerdegegner wird mit dem Auslieferungsent- scheid anfechtbar sein, falls ein solcher ergehen sollte. Dabei würde die Be- schwerdekammer die Auslieferung mit freier Kognition prüfen (TPF 2011 97</w:t>
      </w:r>
    </w:p>
    <w:p>
      <w:r>
        <w:t>- 7 -</w:t>
      </w:r>
    </w:p>
    <w:p>
      <w:r>
        <w:t>E. 5). Ein nicht wiedergutzumachender Nachteil ist daher nicht auszu- machen. Auf die Beschwerde ist somit nicht einzutreten.</w:t>
      </w:r>
    </w:p>
    <w:p>
      <w:r>
        <w:rPr>
          <w:b/>
        </w:rPr>
        <w:t>E. 4</w:t>
      </w:r>
    </w:p>
    <w:p>
      <w:r>
        <w:t>Das Ersuchen um Absehen einer Veröffentlichung des Entscheides (vgl. supra lit. K.) ist zuständigkeitkeitshalber an das Generalsekretariat weiterzu- leiten (Art. 10 Abs. 2 lit. d StBOG i.V.m. Art. 2 Abs. 2 des Reglements des Bundesstrafgerichts über die Grundsätze der Information vom 24. Ja- nuar 2012 i.V.m. Art. 8 VwVG).</w:t>
      </w:r>
    </w:p>
    <w:p>
      <w:r>
        <w:rPr>
          <w:b/>
        </w:rPr>
        <w:t>E. 5</w:t>
      </w:r>
    </w:p>
    <w:p>
      <w:r>
        <w:t>Bei diesem Ausgang des Verfahrens wird der Beschwerdeführer kosten- pflichtig (Art. 63 VwVG i.V.m. Art. 39 Abs. 2 lit. b StBOG). Für die Berech- nung der Gerichtsgebühr gelangt das BStKR (i.V.m. Art. 63 Abs. 5 VwVG) zur Anwendung. Die Gerichtsgebühr ist auf Fr. 2‘000.-- festzusetzen und dem Beschwerdeführer aufzuerlegen, unter Anrechnung des geleisteten Kostenvorschusses.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