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RR.2017.12 vom 25. Januar 2017</w:t>
      </w:r>
    </w:p>
    <w:p>
      <w:r>
        <w:t>Bundesstrafgericht, 2017-01-25, DE</w:t>
      </w:r>
    </w:p>
    <w:p>
      <w:r>
        <w:rPr>
          <w:b/>
        </w:rPr>
        <w:t xml:space="preserve">Quelle: </w:t>
      </w:r>
      <w:r>
        <w:t>https://mcp.opencaselaw.ch/entscheid/bstger_RR.2017.12</w:t>
      </w:r>
    </w:p>
    <w:p>
      <w:r>
        <w:t>FR: TPF RR.2017.12 du 25 janvier 2017</w:t>
      </w:r>
    </w:p>
    <w:p>
      <w:r>
        <w:t>IT: TPF RR.2017.12 del 25 gennaio 2017</w:t>
      </w:r>
    </w:p>
    <w:p>
      <w:pPr>
        <w:pStyle w:val="Heading2"/>
      </w:pPr>
      <w:r>
        <w:t>Regeste</w:t>
      </w:r>
    </w:p>
    <w:p>
      <w:r>
        <w:t>Auslieferung an Italien. Auslieferungsentscheid (Art. 55 IRSG). Unentgeltliche Rechtspflege (Art. 65 VwVG).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Aufl., Zürich/Basel/Genf 2016, Art. 52 N. 109); - die Argumentation des neuen Rechtsvertreters, wonach der Beschwerdefüh- rer ihn erst vor wenigen Tagen mit der Einreichung der vorliegenden Be- schwerde beauftragt habe und er noch nicht im Besitze der Vorakten sei, nicht stichhaltig ist, da den Akten entnommen werden kann, dass der ange- fochtene Auslieferungsentscheid dem Beschwerdeführer bzw. seinem frühe- ren Rechtsvertreter am 22. Dezember 2016 zugestellt wurde (act. 1.2) und der Beschwerdeführer seinen neuen Rechtsvertreter bereits am 3. Januar 2017 mandatierte (act. 1.1); - der Beschwerdeführer bzw. sein neuer Rechtsvertreter mithin rund 20 Tage Zeit hatte, um um Akteneinsicht zu ersuchen; der Rechtsvertreter aufgrund der anwaltlichen Sorgfaltspflicht verpflichtet gewesen wäre, unverzüglich um Akteneinsicht zu ersuchen und dies ihm ohne weiteres ermöglicht hätte, seine Beschwerde fristgerecht zu begründen; - in Anbetracht der konkreten Umstände das Ersuchen um eine Nachfristan- setzung als unzulässige Verlängerung der nicht erstreckbaren Rechtsmittel- frist zu erachten ist und ein solches Verhalten als rechtsmissbräuchlich er- scheint (vgl. auch BGE 134 V 162 E. 4.2 m.w.H.); - gestützt auf das Ausgeführte keine Nachfrist zur Verbesserung der Be- schwerde i.S.v. Art. 52 Abs. 2 VwVG anzusetzen ist; - auf die nicht rechtsgenügliche Beschwerde demnach nicht einzutreten ist; - der Beschwerdeführer bei diesem Ausgang des Verfahrens kostenpflichtig wird (Art. 63 Abs. 1 VwvG i.V.m. Art. 39 Abs. 2 lit. b StBOG); - nach dem Gesagten die vorliegende Beschwerde als offensichtlich aus- sichtslos gilt und damit die Voraussetzungen für die Gewährung der unent- geltliche Rechtspflege und Rechtsverbeiständung nicht gegeben sind;</w:t>
      </w:r>
    </w:p>
    <w:p>
      <w:r>
        <w:t>- 4 -</w:t>
      </w:r>
    </w:p>
    <w:p>
      <w:r>
        <w:t>- für die Berechnung der Gerichtsgebühren das Reglement vom 3. August 2010 des Bundesstrafgerichts über die Kosten, Gebühren und Entschädi- gungen im Bundesstrafverfahren (BStKR; SR 173.713.162) zur Anwendung gelangt (Art. 63 Abs. 5 VwVG i.V.m. Art. 73 StBOG); unter Berücksichtigung aller Umstände die Gerichtsgebühr vorliegend auf CHF 300.-- anzusetzen ist (Art. 8 Abs. 3 BStKR).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