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RR.2017.10 vom 22. Februar 2017</w:t>
      </w:r>
    </w:p>
    <w:p>
      <w:r>
        <w:t>Bundesstrafgericht, 2017-02-22, FR</w:t>
      </w:r>
    </w:p>
    <w:p>
      <w:r>
        <w:rPr>
          <w:b/>
        </w:rPr>
        <w:t xml:space="preserve">Quelle: </w:t>
      </w:r>
      <w:r>
        <w:t>https://mcp.opencaselaw.ch/entscheid/bstger_RR.2017.10</w:t>
      </w:r>
    </w:p>
    <w:p>
      <w:r>
        <w:t>FR: TPF RR.2017.10 du 22 février 2017</w:t>
      </w:r>
    </w:p>
    <w:p>
      <w:r>
        <w:t>IT: TPF RR.2017.10 del 22 febbraio 2017</w:t>
      </w:r>
    </w:p>
    <w:p>
      <w:pPr>
        <w:pStyle w:val="Heading2"/>
      </w:pPr>
      <w:r>
        <w:t>Regeste</w:t>
      </w:r>
    </w:p>
    <w:p>
      <w:r>
        <w:t>Extradition à la France. Décision d'extradition (art. 55 EIMP).</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(cf. arrêt du Tribunal pénal fédéral RR.2008.296 du 17 décembre 2008, consid. 1.3). Les dispositions pertinentes du CAAS n'affectent pas l'application des dispositions plus larges des accords en vigueur entre la France et la Suisse (art. 59 par.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d'extradable, A. est légitimé à recourir contre la décision entreprise, conformément à l'art. 21 al. 3 EIMP (ATF 122 II 373 consid. 1b et jurisprudence citée).</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Il a été respecté en l'occurrence.</w:t>
      </w:r>
    </w:p>
    <w:p>
      <w:r>
        <w:rPr>
          <w:b/>
        </w:rPr>
        <w:t>E. 1.5</w:t>
      </w:r>
    </w:p>
    <w:p>
      <w:r>
        <w:t>Au vu de ce qui précède, il y a lieu d'entrer en matière.</w:t>
      </w:r>
    </w:p>
    <w:p>
      <w:r>
        <w:t>- 4 -</w:t>
      </w:r>
    </w:p>
    <w:p>
      <w:r>
        <w:rPr>
          <w:b/>
        </w:rPr>
        <w:t>E. 2</w:t>
      </w:r>
    </w:p>
    <w:p>
      <w:r>
        <w:t>EIMP. Selon lui, son extradition à la France porterait atteinte à différents égards aux droits garantis par ces dispositions.</w:t>
      </w:r>
    </w:p>
    <w:p>
      <w:r>
        <w:rPr>
          <w:b/>
        </w:rPr>
        <w:t>E. 3.1</w:t>
      </w:r>
    </w:p>
    <w:p>
      <w:r>
        <w:t>Les standards minimaux de protection des droits individuels résultant de la CEDH ou du Pacte international relatif aux droits civils et politiques du 16 décembre 1966 (Pacte ONU II; RS 0.103.2) font partie de l'ordre public international. Parmi ces droits figurent l'interdiction de la torture ainsi que des traitements cruels, inhumains ou dégradants (art. 3 CEDH et art. 7 Pacte ONU II). Si la CEDH ne garantit pas, en tant que telle, le droit de ne pas être expulsé ou extradé (ATF 129 II 100 consid. 3.3; 123 II 279 consid. 2d), il n'en demeure pas moins que lorsqu'une décision d'extradition porte atteinte, par ses conséquences, à l'exercice d'un droit garanti par cette convention, elle peut, s'il ne s'agit pas de répercussions trop lointaines, faire jouer les obligations d'un Etat contractant au titre de la disposition correspondante (ATF 129 II 100 consid. 3.3).</w:t>
      </w:r>
    </w:p>
    <w:p>
      <w:r>
        <w:rPr>
          <w:b/>
        </w:rPr>
        <w:t>E. 3.2</w:t>
      </w:r>
    </w:p>
    <w:p>
      <w:r>
        <w:t>En droit interne,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3.3</w:t>
      </w:r>
    </w:p>
    <w:p>
      <w:r>
        <w:t>En matière d'extradition, la jurisprudence distingue les Etats à l'égard desquels il n'y a en principe pas de doute à avoir quant au respect des droits de l'homme, ceux pour lesquels une extradition peut être accordée</w:t>
      </w:r>
    </w:p>
    <w:p>
      <w:r>
        <w:t>- 5 -</w:t>
      </w:r>
    </w:p>
    <w:p>
      <w:r>
        <w:t>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3.4</w:t>
      </w:r>
    </w:p>
    <w:p>
      <w:r>
        <w:t>Dès lors que la France figure dans le premier groupe d’Etats mentionné ci- dessus, le grief du recourant est d’emblée mal fondé. Cela vaudrait également si l’on ignorait la jurisprudence précitée, tant les arguments avancés par le recourant sont inconsistants. En effet, celui-ci ne prétend pas qu’il aurait requis des soins durant sa détention extraditionnelle; or, tel aurait manifestement été le cas si, comme il l’affirme, les conditions de son assignation à résidence, respectivement le refus allégué de l’Etat requérant de lui assurer toute couverture médicale, avaient causé de graves atteintes à sa santé physique et psychique. Par ailleurs, l’assignation à résidence à laquelle il s’est soustrait n’a quoi qu’il en dise pas vocation à durer jusqu’à la fin de ses jours, mais uniquement jusqu’au moment où il pourra quitter la France pour s’établir dans un pays qui acceptera de l’accueillir (cf. sur ce dernier point act. 1, p. 4). Quant aux menaces dont le recourant se dit l’objet, elle sont, de l’aveu même de l’intéressé, l’œuvre de personnes privées et, comme telles, dépourvues de toute pertinence dans le cadre d’une procédure d’extradition (cf. arrêt du Tribunal fédéral 1A.189/1986 du 1er octobre 1986, consid. 2, cité par</w:t>
      </w:r>
    </w:p>
    <w:p>
      <w:r>
        <w:t>- 6 -</w:t>
      </w:r>
    </w:p>
    <w:p>
      <w:r>
        <w:t>ZIMMERMANN [La coopération judiciaire internationale en matière pénale, 4e éd. 2014, n° 654 p. 666]; arrêt du Tribunal pénal fédéral RR.2016.298 du 12 janvier 2016, consid. 3.3.1 et les références citées). Enfin, le recourant n'avance aucun élément concret propre à démontrer que le refus des autorités françaises de délivrer un titre de séjour à ses enfants relèverait, comme il l'affirme, d’une volonté de le persécuter.</w:t>
      </w:r>
    </w:p>
    <w:p>
      <w:r>
        <w:rPr>
          <w:b/>
        </w:rPr>
        <w:t>E. 4</w:t>
      </w:r>
    </w:p>
    <w:p>
      <w:r>
        <w:t>Le recourant requiert l’octroi de l’assistance judiciaire.</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sur la procédure administrative [PA; RS 172.021], applicable par renvoi de l'art. 39 al. 2 let. b LOAP).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Les conclusions sont vouées à l'échec lorsque les risques de perdre l'emportent nettement sur les chances de gagner (arrêts du Tribunal pénal fédéral RR.2007.176 du 11 décembre 2007, consid. 3; RR.2007.31 du 21 mars 2007, consid. 3). Tel est le cas en l'espèce. En effet, au terme d’une analyse relativement succincte déjà, l’argumentation du recourant s’est avérée mal fondée à l’aune de normes juridiques claires, respectivement d’une jurisprudence bien établie. L'octroi de l’assistance judiciaire doit partant être refusé, sans qu’il y ait lieu d’examiner si la condition de l’indigence est remplie.</w:t>
      </w:r>
    </w:p>
    <w:p>
      <w:r>
        <w:rPr>
          <w:b/>
        </w:rPr>
        <w:t>E. 5</w:t>
      </w:r>
    </w:p>
    <w:p>
      <w:r>
        <w:t>Les frais de procédure, comprenant l’émolument d’arrêté, les émoluments de chancellerie et les débours, sont mis à la charge de la partie qui succombe (art. 63 al. 1 PA,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500.-- (art. 73 al. 2 LOAP, art. 8 al. 3 du règlement du Tribunal pénal fédéral sur les frais, émoluments, dépens, et indemnités de la procédure pénale fédérale [RFPPF; RS 173.713.162] et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