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RR.2016.99 vom 22. November 2016</w:t>
      </w:r>
    </w:p>
    <w:p>
      <w:r>
        <w:t>Bundesstrafgericht, 2016-11-22, DE</w:t>
      </w:r>
    </w:p>
    <w:p>
      <w:r>
        <w:rPr>
          <w:b/>
        </w:rPr>
        <w:t xml:space="preserve">Quelle: </w:t>
      </w:r>
      <w:r>
        <w:t>https://mcp.opencaselaw.ch/entscheid/bstger_RR.2016.99</w:t>
      </w:r>
    </w:p>
    <w:p>
      <w:r>
        <w:t>FR: TPF RR.2016.99 du 22 novembre 2016</w:t>
      </w:r>
    </w:p>
    <w:p>
      <w:r>
        <w:t>IT: TPF RR.2016.99 del 22 novembre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w:t>
      </w:r>
    </w:p>
    <w:p>
      <w:r>
        <w:t>- 4 -</w:t>
      </w:r>
    </w:p>
    <w:p>
      <w:r>
        <w:t>(Schengener Durchführungsübereinkommen, SDÜ; Abl. L 239 vom 22. Sep- tember 2000, S. 19 – 62) zur Anwendung (TPF 2009 111 E. 1.2 S. 113).</w:t>
      </w:r>
    </w:p>
    <w:p>
      <w:r>
        <w:rPr>
          <w:b/>
        </w:rPr>
        <w:t>E. 1.2</w:t>
      </w:r>
    </w:p>
    <w:p>
      <w:r>
        <w:t>Soweit diese Staatsverträge bestimmte Fragen weder ausdrücklich noch stillschweigend regeln, bzw. das schweizerische Landesrecht geringere An- forderungen an die Rechtshilfe stellt (sog. Günstigkeitsprinzip; BGE 140 IV 123 E. 2 S. 126; 137 IV 33 E. 2.2.2 S. 40 f.; 135 IV 212 E. 2.3.; DANGUBIC/KE- SHELAVA, Basler Kommentar, Internationales Strafrecht, Basel 2015, Art. 12 IRSG N 1), ist das Bundesgesetz vom 20. März 1981 über internationale Rechtshilfe in Strafsachen (Rechtshilfegesetz, IRSG; SR 351.1) und die da- zugehörige Verordnung vom 24. Februar 1982 (Rechtshilfeverordnung, IRSV; SR 351.11) anwendbar (Art. 1 Abs. 1 IRSG; BGE 136 IV 82 E. 3.1; 130 II 337 E. 1). Vorbehalten bleibt die Wahrung der Menschenrechte (BGE 135 IV 212 E. 2.3; 123 II 595 E. 7c).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rPr>
          <w:b/>
        </w:rPr>
        <w:t>E. 2</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Die Schlussverfügung vom 4. Mai 2016 wurde fristgerecht angefoch- ten.</w:t>
      </w:r>
    </w:p>
    <w:p>
      <w:r>
        <w:rPr>
          <w:b/>
        </w:rPr>
        <w:t>E. 3.1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Als persönlich und direkt betroffen im</w:t>
      </w:r>
    </w:p>
    <w:p>
      <w:r>
        <w:t>- 5 -</w:t>
      </w:r>
    </w:p>
    <w:p>
      <w:r>
        <w:t>Sinne der Art. 21 Abs. 3 und Art. 80h lit. b IRSG gelten im Falle von Haus- durchsuchungen der jeweilige Eigentümer oder Mieter, der im Besitz der si- chergestellten Unterlagen war (Art. 9a lit. b IRSV). Beschlagnahme von Ur- kunden, die sich in den Händen von Dritten befinden, kann ein von der Zwangsmassnahme nur indirekt Betroffener selbst dann nicht anfechten, wenn die Urkunden Informationen zu seinen Aktivitäten enthalten (BGE 137 IV 134 E. 5.2.3 S. 139; 130 II 162 E. 1.1 S. 164).</w:t>
      </w:r>
    </w:p>
    <w:p>
      <w:r>
        <w:rPr>
          <w:b/>
        </w:rPr>
        <w:t>E. 3.2</w:t>
      </w:r>
    </w:p>
    <w:p>
      <w:r>
        <w:t>Gegen den in Malta wohnhaften Beschwerdeführer läuft in Deutschland eine strafrechtliche Untersuchung. Indes erfolgten die hier zu beurteilenden Hausdurchsuchung und Beschlagnahme der Unterlagen bei der B. GmbH. Damit ist grundsätzlich die B. GmbH als direkt Betroffene und als Eigentü- merin bzw. Mieterin der Räumlichkeiten und Besitzerin der sichergestellten Unterlagen zur Beschwerdeerhebung legitimiert. Indes hat die direkt Be- troffene gegen die Schlussverfügung der Beschwerdegegnerin kein Rechts- mittel ergriffen. Da die B. GmbH erst im Laufe des vorliegenden Beschwer- deverfahrens liquidiert und am 12. September 2016 aus dem Handelsregis- ter gelöscht wurde, mithin zum Zeitpunkt der Beschwerdeeinreichung be- schwerdeberechtigt war, stellt sich die Frage der subsidiären Legitimation vorliegend nicht (BGE 139 II 404 E. 2.1.1 S. 411 f.; 137 IV 134 E. 5.2.1. S. 137 f.; 123 II 153 E. 2b S. 157, je m.w.H.). Hingegen ist die Legitimation des Beschwerdeführers nicht ersichtlich. Die direkte und persönliche Betroffenheit des Beschwerdeführers geht weder aus den vorliegenden Unterlagen noch aus seiner Beschwerde hervor. Der Beschwerdeführer führt zur Begründung seiner Legitimation einzig Art. 80h lit. b IRSG auf, ohne auszuführen, weshalb er durch die Schlussverfügung direkt und persönlich betroffen sein soll. Demnach ist der Beschwerdeführer nicht beschwerdelegitimiert. An dieser Schlussfolgerung vermag auch der Umstand, dass einige der bei der B. GmbH sichergestellten Unterlagen den Beschwerdeführer betreffen könnten, nichts zu ändern. Im Sinne der bun- desgerichtlichen Rechtsprechung wäre er diesfalls als indirekt Betroffener zur Erhebung der Beschwerde ebenfalls nicht legitimiert. Gestützt auf die vorgängigen Ausführungen ist auf die vorliegende Be- schwerde nicht einzutreten.</w:t>
      </w:r>
    </w:p>
    <w:p>
      <w:r>
        <w:rPr>
          <w:b/>
        </w:rPr>
        <w:t>E. 4</w:t>
      </w:r>
    </w:p>
    <w:p>
      <w:r>
        <w:t>Die vorliegende Beschwerde hat von Gesetzes wegen aufschiebende Wir- kung (Art. 80l Abs. 1 IRSG), weshalb auf das diesbezügliche Begehren des Beschwerdeführers ebenfalls nicht einzutreten ist.</w:t>
      </w:r>
    </w:p>
    <w:p>
      <w:r>
        <w:t>- 6 -</w:t>
      </w:r>
    </w:p>
    <w:p>
      <w:r>
        <w:rPr>
          <w:b/>
        </w:rPr>
        <w:t>E. 5</w:t>
      </w:r>
    </w:p>
    <w:p>
      <w:r>
        <w:t>Bei diesem Ausgang des Verfahrens wird der Beschwerdeführer kosten- pflichtig (Art. 63 Abs. 1 VwVG i.V.m. Art. 39 Abs. 2 lit. b StBOG). Für die Berechnung der Gerichtsgebühren gelangt das Reglement des Bundesstraf- gerichts vom 31. August 2010 über die Kosten, Gebühren und Entschädi- gungen in Bundesstrafverfahren (BStKR; SR 173.713.162) zur Anwendung (Art. 53 Abs. 2 lit. a, Art. 73 StBOG i.V.m. Art. 65 Abs. 5 VwVG). Nachdem auf die Beschwerde nicht einzutreten ist, rechtfertigt es sich eine reduzierte Gerichtsgebühr anzusetzen (vgl. Art. 8 Abs. 3 BStKR). Die Gerichtsgebühr wird auf Fr. 3‘000.00 festgesetzt und ist dem Beschwerdeführer aufzuerle- gen, unter Anrechnung des geleisteten Kostenvorschusses von Fr. 5‘000.00. Die Bundesstrafgerichtskasse ist anzuweisen, dem Beschwerdeführer Fr. 2‘000.00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