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RR.2016.86 vom 29. September 2016</w:t>
      </w:r>
    </w:p>
    <w:p>
      <w:r>
        <w:t>Bundesstrafgericht, 2016-09-29, DE</w:t>
      </w:r>
    </w:p>
    <w:p>
      <w:r>
        <w:rPr>
          <w:b/>
        </w:rPr>
        <w:t xml:space="preserve">Quelle: </w:t>
      </w:r>
      <w:r>
        <w:t>https://mcp.opencaselaw.ch/entscheid/bstger_RR.2016.86</w:t>
      </w:r>
    </w:p>
    <w:p>
      <w:r>
        <w:t>FR: TPF RR.2016.86 du 29 septembre 2016</w:t>
      </w:r>
    </w:p>
    <w:p>
      <w:r>
        <w:t>IT: TPF RR.2016.86 del 29 settembre 2016</w:t>
      </w:r>
    </w:p>
    <w:p>
      <w:pPr>
        <w:pStyle w:val="Heading2"/>
      </w:pPr>
      <w:r>
        <w:t>Regeste</w:t>
      </w:r>
    </w:p>
    <w:p>
      <w:r>
        <w:t>Internationale Rechtshilfe in Strafsachen an Dänemark. Herausgabe von Beweismitteln (Art. 74 IRSG).</w:t>
      </w:r>
    </w:p>
    <w:p>
      <w:pPr>
        <w:pStyle w:val="Heading2"/>
      </w:pPr>
      <w:r>
        <w:t>Erwägungen</w:t>
      </w:r>
    </w:p>
    <w:p>
      <w:r>
        <w:rPr>
          <w:b/>
        </w:rPr>
        <w:t>E. 1.1</w:t>
      </w:r>
    </w:p>
    <w:p>
      <w:r>
        <w:t>Für die Rechtshilfe zwischen Dänemark und der Schweiz sind in erster Linie das Europäische Übereinkommen über die Rechtshilfe in Strafsachen vom 20. April 1959 (EUeR, SR 0.351.1) sowie das hierzu ergangene zweite Zu- satzprotokoll vom 8. November 2001 (ZPII EUeR; SR 0.351.12) massge- bend. Weiter sind die Bestimmungen der Art. 48 ff. des Übereinkommens vom 19. Juni 1990 zur Durchführung des Übereinkommens von Schengen vom 14. Juni 1985 (Schengener Durchführungsübereinkommen, SDÜ; ABl. L 239 vom 22. September 2000, S. 19 - 62) massgeblich.</w:t>
      </w:r>
    </w:p>
    <w:p>
      <w:r>
        <w:rPr>
          <w:b/>
        </w:rPr>
        <w:t>E. 1.2</w:t>
      </w:r>
    </w:p>
    <w:p>
      <w:r>
        <w:t>Soweit das Staatsvertragsrecht bestimmte Fragen nicht abschliessend re- gelt, bzw. das schweizerische Landesrecht geringere Anforderungen an die Rechtshilfe stellt (sog. Günstigkeitsprinzip; BGE 140 IV 123 E. 2; 137 IV 33 E. 2.2.2.; 135 IV 212 E. 2.3; ZIMMERMANN, La coopération judiciaire interna- tionale en matière pénale, 4. AufI., Bern 2014, N. 229), sind das Bundesge- setz über internationale Rechtshilfe in Strafsachen vom 20. März 1981 (IRSG, SR 351.1) und die dazugehörige Verordnung über internationale Rechtshilfe in Strafsachen vom 24. Februar 1982 (IRSV, SR 351.11) an- wendbar (Art. 1 Abs. 1 IRSG; BGE 136 IV 82 E. 3.1; 130 II 337 E. 1). Vorbe- halten ist die Wahrung der Menschenrechte (BGE 135 IV 212 E. 2.3; 123 II 595 E. 7c; ZIMMERMANN, a.a.O. N. 211 ff., 223 ff., 681 ff.).</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w:t>
      </w:r>
    </w:p>
    <w:p>
      <w:r>
        <w:rPr>
          <w:b/>
        </w:rPr>
        <w:t>E. 2.1</w:t>
      </w:r>
    </w:p>
    <w:p>
      <w:r>
        <w:t>Beim angefochtenen Entscheid handelt es sich um eine Schlussverfügung der ausführenden kantonalen Behörde, gegen welche innert 30 Tagen ab der schriftlichen Mitteilung bei der Beschwerdekammer des Bundesstrafge- richts Beschwerde geführt werden kann (Art. 80e Abs. 1 i.V.m. Art. 80k IRSG; Art. 37 Abs. 2 lit. a Ziff. 1 StBOG).</w:t>
      </w:r>
    </w:p>
    <w:p>
      <w:r>
        <w:t>Die Schlussverfügung vom 4. April 2016 wurde mit Eingabe vom 6. Mai 2016 fristgerecht angefochten.</w:t>
      </w:r>
    </w:p>
    <w:p>
      <w:r>
        <w:t>- 4 -</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in diesem Sinne gilt namentlich der Kontoinhaber bei Erhebung von Kontoinformationen (Art. 9a lit. a IRSV). Die Beschwerdefüh- rerin ist Inhaberin des von der Rechtshilfemassnahme betroffenen Kontos (vgl. supra Sachverhalt lit. C), sodass sie zur vorliegenden Beschwerde legi- timiert und auf die Beschwerde einzutreten ist.</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t>Gemäss bundesgerichtlicher Rechtsprechung muss sich die Beschwerde- kammer sodann nicht mit allen Parteistandpunkten einlässlich auseinander- setzen und jedes einzelne Vorbringen ausdrücklich widerlegen. Sie kann sich auf die für ihren Entscheid wesentlichen Punkte beschränken. Es ge- nügt, wenn sie wenigstens kurz die Überlegungen nennt, von denen sie sich leiten liess und auf welche sich ihr Entscheid stützt (Urteil des Bundesge- richts 1C_143/2016 vom 2. Mai 2016, E. 2 mit Hinweisen).</w:t>
      </w:r>
    </w:p>
    <w:p>
      <w:r>
        <w:rPr>
          <w:b/>
        </w:rPr>
        <w:t>E. 4.1</w:t>
      </w:r>
    </w:p>
    <w:p>
      <w:r>
        <w:t>Die Beschwerdeführerin macht geltend, es fehle an der doppelten Strafbar- keit. Die rechtshilfesuchende Behörde werfe dem Beschuldigten qualifizier- ter Betrug gemäss § 279 i.V.m. § 286 Abs. 2 des dänischen Strafgesetzes vor. Das Amtsgericht Kopenhagen als bewilligende Behörde sei allerdings zum Schluss gekommen, dass der Beschuldigte „lediglich“ des Betrugs ge- mäss § 279 des dänischen Strafgesetzes (sowie weiterer Straftatbestände [§ 280 Abs. 1 Ziffer 2, § 171 des dänischen Strafgesetzes]) verdächtigt werde. Der mitgelieferte Auszug dieses Artikels reiche zudem nicht aus, um zu prüfen, ob es sich hierbei um ein rechtshilfefähiges Delikt handle. Es sei sodann gestützt auf das dänische Rechtshilfeersuchen erstellt, dass das Krankenhaus E. für die erbrachten Zahlungen eine Gegenleistung erhalten habe, was jedoch von der Beschwerdegegnerin falsch wiedergegeben wor- den sei (act. 1, S. 5 f.; 7 f.).</w:t>
      </w:r>
    </w:p>
    <w:p>
      <w:r>
        <w:t>- 5 -</w:t>
      </w:r>
    </w:p>
    <w:p>
      <w:r>
        <w:rPr>
          <w:b/>
        </w:rPr>
        <w:t>E. 4.2</w:t>
      </w:r>
    </w:p>
    <w:p>
      <w:r>
        <w:t>Gemäss Art. 14 EUeR müssen die Rechtshilfeersuchen insbesondere An- gaben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deren um Rechtshilfe ersucht wird, nicht ein politisches oder fiskalisches Delikt darstel- len (Art. 2 lit. a EUeR) und ob der Grundsatz der Verhältnismässigkeit ge- wahrt wird (BGE 129 II 97 E. 3.1; TPF 2011 194 E. 2.1 S. 195 f.).</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nicht 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ausreichende Anhaltspunkte für eine rechtshilfefähige Straftat vorliegen, ob Verweige- rungsgründe gegeben sind bzw. in welchem Umfang dem Begehren allen- falls entsprochen werden muss. Es kann auch nicht verlangt werden, dass die ersuchende Behörde die Tatvorwürfe bereits abschliessend mit Bewei- sen belegt. Der Rechtshilferichter hat weder Tat- noch Schuldfragen zu prü- fen und grundsätzlich auch keine Beweiswürdigung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4.3</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w:t>
      </w:r>
    </w:p>
    <w:p>
      <w:r>
        <w:t>- 6 -</w:t>
      </w:r>
    </w:p>
    <w:p>
      <w:r>
        <w:t>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t>Nachfolgend ist somit zu prüfen, ob der von der ersuchenden Behörde dar- gelegte Sachverhalt unter eine Strafbestimmung des schweizerischen Rechts subsumiert werden kann.</w:t>
      </w:r>
    </w:p>
    <w:p>
      <w:r>
        <w:rPr>
          <w:b/>
        </w:rPr>
        <w:t>E. 4.4</w:t>
      </w:r>
    </w:p>
    <w:p>
      <w:r>
        <w:t>Dem Ersuchen (act. 1.2) kann entnommen werden, dass der Beschuldigte B. in der Zeit vom 19. Dezember 2007 bis 17. November 2011 im Kranken- haus E. in Z. (Dänemark) verantwortlicher Arzt für die Forschung gewesen sei. Das Krankenhaus E. und die Beschwerdeführerin hätten einen Vertrag über die Durchführung von Blutprobenanalysen im Zusammenhang mit ei- nem vom Beschuldigten B. geleiteten Forschungsvorhaben geschlossen. Der Vertrag sei am 3. September 2007 vom Geschäftsführer der Beschwer- deführerin, D., und am 6. September 2007 vom Beschuldigten B. als Chef- arzt namens und im Auftrag des Krankenhauses E. unterzeichnet worden. Die Beschwerdeführerin sei allerdings erst am 4. September 2007 gegründet worden. Es seien im Rahmen des Forschungsvorhabens de facto Blutproben in die Schweiz geschickt worden und im Rahmen des Vorhabens auch scheinbar echte Blutprobenergebnisse ausgewertet worden, allerdings habe nicht festgestellt werden können, woher diese Ergebnisse stammen. In 42 Fällen sei das Krankenhaus E. dazu bewegt worden, insgesamt CHF 600‘000.00 an die Beschwerdeführerin (auf das Konto 1 bei der Bank C. AG) als Bezahlung für Blutprobenanalysen zu überweisen, obwohl die Beschwerdeführerin diese nicht vorgenommen habe, wodurch dem Kran- kenhaus E. ein entsprechender Verlust entstanden sei. Die Beschwerdefüh- rerin habe in von ihr ausgestellten Dokumenten mehrfach ihre Adresse und</w:t>
      </w:r>
    </w:p>
    <w:p>
      <w:r>
        <w:t>- 7 -</w:t>
      </w:r>
    </w:p>
    <w:p>
      <w:r>
        <w:t>den Namen des Geschäftsführers fehlerhaft angegeben. Aus dem Vertrag gehe zudem hervor, dass dieser zwischen dem Krankenhaus E. und der Be- schwerdeführerin in Zusammenarbeit mit der F. AG geschlossen worden sei. Die Beschwerdeführerin habe im April 2013 eine Erklärung abgegeben, dass sie mit der F. AG über patentierte Analysemethoden zusammenarbeite. Die F. AG habe auf Anfrage bestritten, D. oder die Beschwerdeführerin zu ken- nen.</w:t>
      </w:r>
    </w:p>
    <w:p>
      <w:r>
        <w:rPr>
          <w:b/>
        </w:rPr>
        <w:t>E. 4.5</w:t>
      </w:r>
    </w:p>
    <w:p>
      <w:r>
        <w:t>Nach schweizerischem Recht erfüllt den Tatbestand des Betrugs,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 (Art. 146 Abs. 1 StGB).</w:t>
      </w:r>
    </w:p>
    <w:p>
      <w:r>
        <w:t>Die Schilderung des Sachverhalts im Rechtshilfeersuchen genügt den ge- setzlichen Ansprüchen von Art. 14 Ziff. 2 EUeR und erlaubt die Überprüfung der doppelten Strafbarkeit. Sie enthält keine offensichtlichen Fehler, Lücken oder Widersprüche, welche eine Überprüfung der Strafbarkeit verunmögli- chen würden. Zwar wird im Sachverhalt erwähnt, dass tatsächlich Blutpro- ben in die Schweiz geschickt und ihm Rahmen des Forschungsvorhabens auch scheinbar echte Blutprobenergebnisse ausgewertet worden seien. Es wird aber auch erwähnt, dass nicht habe festgestellt werden können, woher die Blutprobenergebnisse stammten. Damit ist entgegen der Ansicht der Be- schwerdeführerin gerade nicht dargelegt, dass eine Gegenleistung durch sie erbracht worden wäre. Dem Rechtshilfeersuchen ist zu entnehmen, dass das Krankenhaus E. für die nicht erbrachten Blutprobenanalysen CHF 600‘000.00 an die Beschwerdeführerin überwiesen habe, die nur zu diesem Zweck gegründet worden sei. Gemäss den dänischen Behörden habe die Beschwerdeführerin ferner wahrheitswidrig behauptet, mit der F. AG zusammenzuarbeiten. Infolge dessen und des Vertrauensverhältnis- ses des Beschuldigten als Chefarzt im Krankenhaus E. kann auch das Tat- bestandselement der Arglist angenommen werden. Der Sachverhalt lässt sich damit ohne Weiteres unter den Tatbestand des Betrugs im Sinne von Art. 146 StGB subsumieren.</w:t>
      </w:r>
    </w:p>
    <w:p>
      <w:r>
        <w:t>Ob die dänischen Richter den Sachverhalt letztlich als qualifizierten oder bloss als einfachen Betrug beurteilen, ist vorliegend nicht von Belang. Ebenso wenig braucht geprüft zu werden, ob sich die im Rechtshilfeersuchen geschilderten Vorgänge noch unter andere Tatbestände nach schweizeri- schem Recht, namentlich eine qualifizierte Variante des Betrugs, subsumie- ren lassen können. Die doppelte Strafbarkeit ist somit zu bejahen. Die Be- schwerde erweist sich in diesem Punkt als unbegründet.</w:t>
      </w:r>
    </w:p>
    <w:p>
      <w:r>
        <w:t>- 8 -</w:t>
      </w:r>
    </w:p>
    <w:p>
      <w:r>
        <w:rPr>
          <w:b/>
        </w:rPr>
        <w:t>E. 5.1</w:t>
      </w:r>
    </w:p>
    <w:p>
      <w:r>
        <w:t>Die Beschwerdeführerin macht sodann in verschiedener Hinsicht eine Ver- letzung des Verhältnismässigkeitsprinzips geltend. So ist sie im Wesentli- chen der Ansicht, es fehle an der Erheblichkeit der herauszugebenden Bank- unterlagen. Soweit diese nämlich das Krankenhaus E. in Z. (Dänemark) be- träfen, handle es sich um Zahlungseingänge, die einzig die im dänischen Verfahren bereits beigebrachten Zahlungsausgänge belegen würden. Zu- dem ergäben sich aus den Bankunterlagen keine weiteren Hinweise auf den Beschuldigten (act. 1, S. 6 ff.).</w:t>
      </w:r>
    </w:p>
    <w:p>
      <w:r>
        <w:rPr>
          <w:b/>
        </w:rPr>
        <w:t>E. 5.2</w:t>
      </w:r>
    </w:p>
    <w:p>
      <w:r>
        <w:t>Rechtshilfemassnahmen haben generell dem Prinzip der Verhältnismässig- keit zu genügen (ZIMMERMANN, a.a.O., N. 717 ff., mit Verweisen auf die Rechtsprechung; DONATSCH/HEIMGARTNER/MEYER/SIMONEK, Internationale Rechtshilfe, 2. Aufl., Zürich/Basel/Genf 2015, S. 92 ff.; POPP, Grundzüge der internationalen Rechtshilfe in Strafsachen, Basel 2001, N. 404; siehe statt vieler den Entscheid des Bundesstrafgerichts RR.2011.193 vom 9. Juli 2012, E. 8.2). Die internationale Zusammenarbeit kann nur abgelehnt werden, wenn die verlangten Unterlagen mit der verfolgten Straftat in keinem Zusam- menhang stehen und offensichtlich ungeeignet sind, die Untersuchung vo- 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grundsätzlich dem Ermessen der Behörden dieses Staates anheimgestellt ist. Da der ersuchte Staat im Allge- meinen nicht über die Mittel verfügt, die es ihm erlauben würden, sich über die Zweckmässigkeit bestimmter Beweise im ausländischen Verfahren aus- zusprechen, hat er insoweit die Würdigung der mit der Untersuchung befass- 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 verfahren mit Sicherheit nicht erheblich sind (sog. potentielle Erheblichkeit; BGE 128 II 407 E. 6.3.1 S. 423; 122 II 367 E. 2c; TPF 2009 161 E. 5.1 S. 163 m.w.H.). Hierbei ist auch zu beachten, dass für das ausländische Strafver- fahren nicht nur belastende, sondern auch entlastende Beweismittel von Be- deutung sein können, um einen bestehenden Verdacht allenfalls zu widerle- gen (TPF 2011 97 E. 5.1 S. 106 m.w.H.). Dabei darf die ersuchte Rechtshil- febehörde über ein im Rechtshilfeersuchen gestelltes Begehren nicht hin- ausgehen (Übermassverbot; BGE 136 IV 82 E. 4.1 S. 85 f.). Die Rechtspre- chung hat diesen Grundsatz derweil insofern präzisiert, als das Rechtshil- feersuchen nach Massgabe des Zwecks der angestrebten Rechtshilfe weit ausgelegt werden kann, solange alle Voraussetzungen für die Gewährung</w:t>
      </w:r>
    </w:p>
    <w:p>
      <w:r>
        <w:t>- 9 -</w:t>
      </w:r>
    </w:p>
    <w:p>
      <w:r>
        <w:t>der Rechtshilfe erfüllt sind. Auf diese Weise kann eine andernfalls notwen- dige Ergänzung des Rechtshilfeersuchens vermieden werden (BGE 136 IV 82 E. 4.1 S. 86; vgl. zum Ganzen auch TPF 2009 161 E. 5.1 S. 164). Zielt das Rechtshilfeersuchen auf die Ermittlung ab, auf welchem Weg Geldmittel möglicherweise strafbarer Herkunft verschoben worden sind, so sind die Be- hörden des ersuchenden Staates grundsätzlich über alle Transaktionen zu informieren, die von Gesellschaften und über Konten getätigt worden sind, welche in die Angelegenheit verwickelt sind (BGE 129 II 462 E. 5.3 S. 468; TPF 2011 97 E. 5.1 S. 106 m.w.H.).</w:t>
      </w:r>
    </w:p>
    <w:p>
      <w:r>
        <w:rPr>
          <w:b/>
        </w:rPr>
        <w:t>E. 5.3</w:t>
      </w:r>
    </w:p>
    <w:p>
      <w:r>
        <w:t>In Anbetracht des im Rechtshilfeersuchen umschriebenen, für den Rechts- hilferichter bindenden Sachverhalts, ist die potentielle Erheblichkeit der er- suchten Unterlagen für das dänische Strafverfahren augenscheinlich: ver- langt werden die Kontounterlagen der Beschwerdeführerin, auf deren Konto die mutmasslich inkriminierten Zahlungen geflossen sein sollen. Damit be- steht ein ausreichender sachlicher Zusammenhang zwischen den streitigen Kontoerhebungen und den von den dänischen Behörden untersuchen Straf- taten. Von einer „fishing expedition“ kann daher keine Rede sein. Mit der Argumentation, die Bankunterlagen lieferten keine weiteren Hinweise auf den Beschuldigten, verkennt die Beschwerdeführerin, dass der Rechtshilfe- richter keine Beweiswürdigung vorzunehmen hat und dass die im Rechtshil- feverfahren übermittelten Auskünfte und Dokumente durchaus auch der Ent- lastung der Beschuldigten dienen können (vgl. oben E. 5.2). Eine Verletzung des Verhältnismässigkeitsprinzips ist nicht auszumachen. Der von der Be- schwerdeführerin pauschal gerügte Eingriff in ihren Geheimbereich stellt im vorliegenden Zusammenhang kein Rechtshilfehindernis dar. Bei der Abwä- gung der konkurrierenden Interessen des ersuchenden Staates an der Wahrheitsfindung einerseits und denjenigen des Betroffenen an der Geheim- haltung andererseits ist in Betracht zu ziehen, dass gerade bei der Heraus- gabe von Beweismitteln, bei denen ein Konnex zur vorgeworfenen Straftat gegeben ist, das Interesse des rechtshilfeersuchenden Staates dem Ge- heimhaltungsinteresse vorrangig ist (BGE 121 II 241, E. 3 c).</w:t>
      </w:r>
    </w:p>
    <w:p>
      <w:r>
        <w:t>Zusammenfassend kann festgehalten werden, dass die Herausgabe der in Frage stehenden Unterlagen an die ersuchende Behörde das Prinzip der Verhältnismässigkeit nicht verletzt. Diese Rüge geht folglich fehl.</w:t>
      </w:r>
    </w:p>
    <w:p>
      <w:r>
        <w:rPr>
          <w:b/>
        </w:rPr>
        <w:t>E. 6</w:t>
      </w:r>
    </w:p>
    <w:p>
      <w:r>
        <w:t>Die Beschwerde erweist sich nach dem Gesagten in all ihren Punkten als unbegründet. Andere Hindernisse, welche der zu gewährenden Rechtshilfe entgegenstehen würden, sind nicht ersichtlich. Die Beschwerde ist daher vollumfänglich abzuweisen.</w:t>
      </w:r>
    </w:p>
    <w:p>
      <w:r>
        <w:t>- 10 -</w:t>
      </w:r>
    </w:p>
    <w:p>
      <w:r>
        <w:rPr>
          <w:b/>
        </w:rPr>
        <w:t>E. 7</w:t>
      </w:r>
    </w:p>
    <w:p>
      <w:r>
        <w:t>Bei diesem Ausgang des Verfahrens sind die Gerichtskosten der Beschwer- deführerin aufzuerlegen (Art. 63 Abs. 1 VwVG). Die Gerichtsgebühr ist auf Fr. 4'000.-- festzusetzen (Art. 63 Abs. 5 VwVG i.V.m. Art. 73 StBOG sowie Art. 5 und 8 Abs. 3 lit. a des Reglements des Bundesstrafgerichts vom 31. August 2010 über die Kosten, Gebühren und Entschädigungen in Bun- desstrafverfahren [BStKR; SR 173.713.162]), unter Anrechnung des geleis- teten Kostenvorschusses in derselben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