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RR.2016.76 vom 2. Juni 2016</w:t>
      </w:r>
    </w:p>
    <w:p>
      <w:r>
        <w:t>Bundesstrafgericht, 2016-06-02, DE</w:t>
      </w:r>
    </w:p>
    <w:p>
      <w:r>
        <w:rPr>
          <w:b/>
        </w:rPr>
        <w:t xml:space="preserve">Quelle: </w:t>
      </w:r>
      <w:r>
        <w:t>https://mcp.opencaselaw.ch/entscheid/bstger_RR.2016.76</w:t>
      </w:r>
    </w:p>
    <w:p>
      <w:r>
        <w:t>FR: TPF RR.2016.76 du 2 juin 2016</w:t>
      </w:r>
    </w:p>
    <w:p>
      <w:r>
        <w:t>IT: TPF RR.2016.76 del 2 giugno 2016</w:t>
      </w:r>
    </w:p>
    <w:p>
      <w:pPr>
        <w:pStyle w:val="Heading2"/>
      </w:pPr>
      <w:r>
        <w:t>Regeste</w:t>
      </w:r>
    </w:p>
    <w:p>
      <w:r>
        <w:t>Internationale Rechtshilfe in Strafsachen an Deutschland. Entsiegelung (Art. 9 IRSG i.V.m. Art. 248 StPO). Aufschiebende Wirkung (Art. 80/ IRSG).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Februar 2016; RR.2014.47 vom 6. Juni 2014);</w:t>
      </w:r>
    </w:p>
    <w:p>
      <w:r>
        <w:t>- der Beschwerdeführer argumentiert, dass vorliegend eine Ausnahme von der restriktiven gesetzlichen Regelung in Art. 80e Abs. 2 lit. a und b IRSG zulässig sei, weil er darlege, der angefochtene Entscheid sei wegen Verlet- zung der Zuständigkeitsvorschriften nichtig (act. 1 S. 2);</w:t>
      </w:r>
    </w:p>
    <w:p>
      <w:r>
        <w:t>- zur angeblichen Unzuständigkeit des ZMG der Beschwerdeführer ausführt, die Staatsanwaltschaft habe mit Verfügung vom 9. Oktober 2014 den Erlass und den Vollzug der Zwangsmassnahmen an die im Kanton Basel-Stadt zu- ständigen Strafbehörden übertragen; der Vollzug von Zwangsmassnahmen- befehlen, zu dem auch die Entsiegelung der sichergestellten Unterlagen ge- höre, ausschliesslich den zuständigen Behörden desjenigen Kantons, wel- che die entsprechenden Zwangsmassnahmenbefehle ausgestellt habe, ob- liege (act. 1 S. 5);</w:t>
      </w:r>
    </w:p>
    <w:p>
      <w:r>
        <w:t>- die örtliche Unzuständigkeit in der Regel kein Nichtigkeitsgrund ist; die funk- tionelle und sachliche Unzuständigkeit zumeist einen Nichtigkeitsgrund dar- stellt (HÄFELIN/MÜLLER/UHLMANN, Allgemeines Verwaltungsrecht, 6. Aufl.,</w:t>
      </w:r>
    </w:p>
    <w:p>
      <w:r>
        <w:t>- 5 -</w:t>
      </w:r>
    </w:p>
    <w:p>
      <w:r>
        <w:t>Zürich 2010, , S. 216 f., mit weiteren Hinweisen); die funktionelle und sachli- che Unzuständigkeit keinen Nichtigkeitsgrund darstellt, wenn der verfügen- den Behörde auf dem betreffenden Gebiet allgemeine Entscheidungsgewalt zukommt (BGE 137 III 217 E. 2.4.3; 127 II 32 E. 3g S. 47 f.);</w:t>
      </w:r>
    </w:p>
    <w:p>
      <w:r>
        <w:t>- die vom Beschwerdeführer behauptete örtliche Unzuständigkeit somit keinen Nichtigkeitsgrund darstellt; der Beschwerdeführer zwar die sachliche Unzu- ständigkeit des ZMG erwähnt, sie aber darüber hinaus mit keinem Wort be- gründet; eine solche auch nicht im Ansatz ersichtlich ist;</w:t>
      </w:r>
    </w:p>
    <w:p>
      <w:r>
        <w:t>- dem beschwerdeweise gestellten Antrag, es sei festzustellen, dass die Ver- fügung des ZMG vom 13. April 2016 nichtig sei, somit nicht zu folgen ist; die Anzeige der Nichtigkeit die selbständige Anfechtbarkeit der Zwischenverfü- gung ohnehin nicht per se hätte zu begründen vermögen;</w:t>
      </w:r>
    </w:p>
    <w:p>
      <w:r>
        <w:t>- auf die Beschwerde nach dem Gesagten nicht einzutreten ist;</w:t>
      </w:r>
    </w:p>
    <w:p>
      <w:r>
        <w:t>- das Gesuch des Beschwerdeführers um Erteilung der aufschiebenden Wir- kung mit dem vorliegenden Entscheid hinfällig wird und als gegenstandslos geworden abzuschreiben ist;</w:t>
      </w:r>
    </w:p>
    <w:p>
      <w:r>
        <w:t>- bei diesem Ausgang des Verfahrens der Beschwerdeführer kostenpflichtig wird (Art. 63 Abs. 1 VwVG i.V.m. Art. 39 Abs. 2 lit. b StBOG); für die Berech- nung der Gerichtsgebühr gemäss Art. 63 Abs. 5 VwVG das Reglement des Bundesstrafgerichts vom 31. August 2010 über die Kosten, Gebühren und Entschädigungen in Bundesstrafverfahren (SR 173.713.162) zur Anwen- dung gelangt;</w:t>
      </w:r>
    </w:p>
    <w:p>
      <w:r>
        <w:t>- die Gerichtsgebühr vorliegend auf Fr. 1‘500.-- festzulegen ist, unter Anrech- nung des entsprechenden Betrages am geleisteten Kostenvorschuss in der Höhe von Fr. 4‘000.--; die Bundesstrafgerichtskasse anzuweisen ist, dem Beschwerdeführer den Restbetrag in der Höhe von Fr. 2‘500.-- zurückzuer- statten. 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