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RR.2016.71 vom 8. Juli 2016</w:t>
      </w:r>
    </w:p>
    <w:p>
      <w:r>
        <w:t>Bundesstrafgericht, 2016-07-08, FR</w:t>
      </w:r>
    </w:p>
    <w:p>
      <w:r>
        <w:rPr>
          <w:b/>
        </w:rPr>
        <w:t xml:space="preserve">Quelle: </w:t>
      </w:r>
      <w:r>
        <w:t>https://mcp.opencaselaw.ch/entscheid/bstger_RR.2016.71</w:t>
      </w:r>
    </w:p>
    <w:p>
      <w:r>
        <w:t>FR: TPF RR.2016.71 du 8 juillet 2016</w:t>
      </w:r>
    </w:p>
    <w:p>
      <w:r>
        <w:t>IT: TPF RR.2016.71 del 8 luglio 2016</w:t>
      </w:r>
    </w:p>
    <w:p>
      <w:pPr>
        <w:pStyle w:val="Heading2"/>
      </w:pPr>
      <w:r>
        <w:t>Regeste</w:t>
      </w:r>
    </w:p>
    <w:p>
      <w:r>
        <w:t>Entraide judiciaire internationale en matière pénale à la Géorgie. Remise de moyens de preuve (art. 74 EIMP).</w:t>
      </w:r>
    </w:p>
    <w:p>
      <w:pPr>
        <w:pStyle w:val="Heading2"/>
      </w:pPr>
      <w:r>
        <w:t>Erwägungen</w:t>
      </w:r>
    </w:p>
    <w:p>
      <w:r>
        <w:rPr>
          <w:b/>
        </w:rPr>
        <w:t>E. 1</w:t>
      </w:r>
    </w:p>
    <w:p>
      <w:r>
        <w:t>L’entraide judiciaire entre la Confédération suisse et la Géorgie est régie en premier lieu par la Convention européenne d’entraide judiciaire en matière pénale (CEEJ; 0.351.1). Peut également s'appliquer en l'occurrence la Con- vention n° 141 du Conseil de l’Europe relative au blanchiment, au dépistage, à la saisie et à la confiscation des produits du crime (CBl; RS 0.311.53), entrée en vigueur le 1er septembre 1993 pour la Suisse et 1er septembre 2004 pour la Géorgie. Les dispositions de ces traités l’emportent sur le droit interne régissant la matière, soit la loi fédérale sur l'entraide internationale en ma- tière pénale (EIMP; RS 351.1) et son ordonnance d’exécution (OEIMP; RS 351.11). Le droit interne reste toutefois applicable aux questions non ré- glées, explicitement ou implicitement, par le traité et lorsqu’il est plus favo- 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3</w:t>
      </w:r>
    </w:p>
    <w:p>
      <w:r>
        <w:t>Formé le 21 avril 2016 contre des décisions notifiées au plus tôt le 22 mars précédent, le recours l'a été dans le délai de 30 jours institué par l'art. 80k EIMP.</w:t>
      </w:r>
    </w:p>
    <w:p>
      <w:r>
        <w:rPr>
          <w:b/>
        </w:rPr>
        <w:t>E. 4.1</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(cf. ATF 137 IV 134 con- sid. 5.2.1 et 118 Ib 547 consid. 1d).</w:t>
      </w:r>
    </w:p>
    <w:p>
      <w:r>
        <w:t>Exceptionnellement, la qualité pour agir est reconnue, depuis une quinzaine d'années, à l'ayant droit d'une société titulaire de compte lorsque celle-ci a été dissoute et liquidée, sous réserve de l'abus de droit (ATF 123 II 153 con- sid. 2c et dd). Il appartient dans ce cas à l'ayant droit de former le recours en son nom propre et de prouver, outre la dissolution, sa qualité d'ayant droit économique, en produisant les documents idoines en faveur de cette thèse (arrêts du Tribunal fédéral 1A.268/2006 du 16 février 2007, consid. 2.3; 1A.57/2005 du 21 mars 2005; 1A.295/2004 du 27 janvier 2005, consid. 2.4; arrêts du Tribunal pénal fédéral RR.2007.182 du 17 juillet 2008, consid. 2; RR.2007.52 du 13 juin 2007, consid. 3). Il importe dès lors qu'il démontre, à l'appui de documents officiels, que la société a été liquidée (arrêts du Tribu- nal fédéral 1A.10/2000 du 18 mai 2000, consid. 1e; 1A.131/1999 du 26 août 1999, consid. 3 et 1A.236/1998 du 25 janvier 1999, consid. 1b/bb, jurispru- dence citée dans l'arrêt 1A.212/2001 du 21 mars 2002, consid. 1.3.2). Il faut en outre que l'acte de dissolution indique clairement l'ayant droit comme son bénéficiaire (arrêt du Tribunal fédéral 1A.84/1999 du 31 mai 1999, con- sid. 2c, jurisprudence également citée dans l'arrêt 1A.212/2001 précité; arrêt du Tribunal pénal fédéral RR.2007.52 du 13 juin 2007, consid. 3.2). L'abus de droit est réservé (ATF 123 II 153 consid. 2c et dd). La preuve peut égale- ment être apportée par le biais d'autres moyens (arrêt du Tribunal fédéral 1C_370/2012 du 3 octobre 2012, consid. 2.7; arrêts du Tribunal pénal fédéral</w:t>
      </w:r>
    </w:p>
    <w:p>
      <w:r>
        <w:t>RR.2015.14 du 11 février 2015; RR.2012.257 du 2 juillet 2013, consid. 1.2.2; RR.2012.252 du 7 juin 2013, consid. 2.2.1). D'après la jurisprudence du Tri- bunal fédéral en la matière, l'élément permettant de démontrer que le recou- rant est l'ayant droit de la société liquidée est considéré comme déterminant et il n'est nullement abusif d'en exiger la preuve du recourant; lorsque cet élément ne ressort pas du dossier, le recours est déclaré irrecevable (arrêt du Tribunal fédéral 1C_440/2011 du 17 octobre 2011, consid. 1.5; cf. aussi 1C_183/2012 du 12 avril 2012, consid. 1.5).</w:t>
      </w:r>
    </w:p>
    <w:p>
      <w:r>
        <w:rPr>
          <w:b/>
        </w:rPr>
        <w:t>E. 4.2</w:t>
      </w:r>
    </w:p>
    <w:p>
      <w:r>
        <w:t>Les recourants, en ce qu’ils sont chacun titulaire d’un compte bancaire dont la remise de la documentation a été ordonnée dans les actes entrepris les concernant, sont habilités à attaquer ceux-ci. En revanche, ils ne produisent aucun document propre à démontrer qu’ils seraient ayants-droit de H. Corp. et de I. SA. Ils n’ont dès lors pas la qualité pour recourir contre les décisions rendues à l’encontre de celles-ci.</w:t>
      </w:r>
    </w:p>
    <w:p>
      <w:r>
        <w:rPr>
          <w:b/>
        </w:rPr>
        <w:t>E. 4.3</w:t>
      </w:r>
    </w:p>
    <w:p>
      <w:r>
        <w:t>Il y a donc lieu d’entrer en matière dans les limites de ce qui précède.</w:t>
      </w:r>
    </w:p>
    <w:p>
      <w:r>
        <w:rPr>
          <w:b/>
        </w:rPr>
        <w:t>E. 5.1</w:t>
      </w:r>
    </w:p>
    <w:p>
      <w:r>
        <w:t>Les recourants se plaignent en premier lieu d’une violation du principe de la proportionnalité. Selon eux, la documentation relative aux comptes banque G. numéros 1 et 2 ne présente aucune utilité potentielle pour l’enquête men- tionnée dans la demande d’entraide.</w:t>
      </w:r>
    </w:p>
    <w:p>
      <w:r>
        <w:rPr>
          <w:b/>
        </w:rPr>
        <w:t>E. 5.2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w:t>
      </w:r>
    </w:p>
    <w:p>
      <w:r>
        <w:t>aussi d’éviter d’éventuelles demandes complémentaires (ATF 121 II 241 consid. 3a; arrêt du Tribunal pénal fédéral RR.2009.286-287 du 10 février 2010, consid. 4.1). Lorsque la demande vise à éclaircir le cheminement de fonds d’origine dé- lictueuse, il convient en principe d’informer l’Etat requérant de toutes les tran- sactions opérées au nom des entités (personnes physiques ou morales) et par le biais des comptes impliqués dans l’affaire, même sur une période re- lativement étendue (ATF 121 II 241 consid. 3c).</w:t>
      </w:r>
    </w:p>
    <w:p>
      <w:r>
        <w:t>Certes, il se peut également que les comptes litigieux n’aient pas servi à recevoir le produit d’infractions pénales, ni à opérer des virements illicites ou à blanchir des fonds. L’autorité requérante n’en dispose pas moins d’un in- 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 l’application du principe de la proportionnalité en matière d’entraide pénale internationale. C’est le propre de l’entraide de favoriser la découverte de faits, d’informa- 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 sid. 4.2.4/a et RR.2009.320 du 2 février 2010, consid. 4.1; ZIMMERMANN, La coopération judiciaire internationale en matière pénale, 4e éd. 2014, p. 748 ss).</w:t>
      </w:r>
    </w:p>
    <w:p>
      <w:r>
        <w:rPr>
          <w:b/>
        </w:rPr>
        <w:t>E. 5.3</w:t>
      </w:r>
    </w:p>
    <w:p>
      <w:r>
        <w:t>L’argumentation des recourants ne résiste pas à l’examen. En effet, ceux-ci reconnaissent (act. 1, p. 12) que le compte banque G. 1 est destinataire d’un versement de plus de 2.5 mio. d’Euro effectué en mai 2008 par le ministère géorgien de la Défense et le MPC a affirmé (act. 12, p. 5), sans être contredit par les intéressés, que ladite relation bancaire avait alimenté le compte banque G. 2 entre juillet 2011 et mars 2013. Aussi, existe-t-il potentiellement des liens étroits entre le mécanisme litigieux décrit dans la demande d’en- traide et les comptes en cause. Par conséquent, la transmission de la docu- mentation ordonnée par le MPC satisfait aux réquisits jurisprudentiels qui viennent d’être exposés. Le premier grief soulevé est ainsi mal fondé.</w:t>
      </w:r>
    </w:p>
    <w:p>
      <w:r>
        <w:rPr>
          <w:b/>
        </w:rPr>
        <w:t>E. 6.1</w:t>
      </w:r>
    </w:p>
    <w:p>
      <w:r>
        <w:t>Dans un second moyen, les recourants se plaignent d’une violation de l’art. 2 EIMP. Ils soutiennent que les poursuites menées en Géorgie tendent à punir C. en raison de son activité politique, respectivement A. pour avoir témoigné en faveur de ce dernier devant un tribunal londonien, dans le cadre d’une procédure d’extradition initiée au Royaume-Uni par la Géorgie, visant l’ancien ministre de la Défense.</w:t>
      </w:r>
    </w:p>
    <w:p>
      <w:r>
        <w:rPr>
          <w:b/>
        </w:rPr>
        <w:t>E. 6.2</w:t>
      </w:r>
    </w:p>
    <w:p>
      <w:r>
        <w:t>En vertu de l'art. 2 EIMP, la demande de coopération en matière pénale est irrecevable s’il y a lieu d’admettre que la procédure à l’étranger: (a) n’est pas conforme aux principes de procédure fixés par la convention européenne du 4 novembre 1950 de sauvegarde des droits de l’homme et des libertés fon- damentales (CEDH), ou par le Pacte international du 16 décembre 1966 re- latif aux droits civils et politiques (Pacte ONU II); (b) tend à poursuivre ou à punir une personne en raison de ses opinions politiques, de son apparte- nance à un groupe social déterminé, de sa race, de sa confession ou de sa nationalité; (c) risque d’aggraver la situation de la personne poursuivie, pour l’une ou l’autre des raisons indiquées sous let. b, ou; (d) présente d’autres défauts graves.</w:t>
      </w:r>
    </w:p>
    <w:p>
      <w:r>
        <w:rPr>
          <w:b/>
        </w:rPr>
        <w:t>E. 6.3.1</w:t>
      </w:r>
    </w:p>
    <w:p>
      <w:r>
        <w:t>Lorsque l'Etat requérant demande l'entraide judiciaire, et notamment la re- mise de documents bancaires, peut invoquer l'art. 2 EIMP l'accusé se trou- vant sur le territoire de l'Etat requérant (ATF 129 II 268 consid. 6.1; 125 II 356 consid. 8; 123 II 161 consid. 6) qui peut démontrer être concrètement exposé au risque de mauvais traitements ou de violation de ses droits de procédure (ATF 129 II 268 consid. 6.1; 126 II 324 consid. 4). En revanche, n'est en principe pas recevable à se plaindre de la violation de l'art. 2 EIMP celui qui se trouve à l'étranger ou qui réside sur le territoire de l'Etat requérant sans y courir aucun danger (ATF 129 II 268 consid. 6.1; 126 II 324 con- sid. 4e; 125 II 356 consid. 8). L'absence du territoire protège d'un traitement inhumain contraire aux art. 3 CEDH et 7 Pacte ONU II, ainsi que d'une vio- lation des garanties liées à la liberté personnelle prévues aux art. 5 CEDH et</w:t>
      </w:r>
    </w:p>
    <w:p>
      <w:r>
        <w:rPr>
          <w:b/>
        </w:rPr>
        <w:t>E. 6.3.2</w:t>
      </w:r>
    </w:p>
    <w:p>
      <w:r>
        <w:t>Le recourant est ressortissant d’Israël, pays dans lequel il est domicilié, et il n’expose pas la moindre circonstance propre à démontrer qu’il pourrait être inquiété par la justice pénale géorgienne. Il ne peut donc pas se prévaloir de l’art. 2 EIMP. Cela vaut également pour la recourante, que sa qualité de per- sonne morale empêche de toute manière d’invoquer cette disposition légale (arrêt du Tribunal pénal fédéral RR.2015.254-255 du 20 janvier 2016, con- sid. 6.3 et les références citées). Le second moyen soulevé est donc égale- ment mal fondé.</w:t>
      </w:r>
    </w:p>
    <w:p>
      <w:r>
        <w:t>7. Les recourants concluent à ce qu’il soit ordonné au MPC d’interpeller l’Etat requérant sur le contenu des missives échangées, les 3 et 17 mai 2016, entre l’avocat israélien du recourant et le Bureau du Procureur général de Géorgie (let. F. et H.).</w:t>
      </w:r>
    </w:p>
    <w:p>
      <w:r>
        <w:t>A l’appui de cette conclusion, ils font valoir que selon les déclarations faites par ladite autorité géorgienne dans le second courrier précité, un contrat con- clu en 2007 entre la société J. Ltd et le ministère de la Défense de l’Etat la Géorgie a été dûment exécuté. Les recourants en déduisent que la réalisa- tion des infractions indiquées dans la demande d’entraide apparaît exclue.</w:t>
      </w:r>
    </w:p>
    <w:p>
      <w:r>
        <w:t>Cette argumentation a trait à une question de fond qui, comme telle, échappe à l’examen du juge de l’entraide ; partant, elle est dépourvue de toute perti- nence dans le cadre du présent litige.</w:t>
      </w:r>
    </w:p>
    <w:p>
      <w:r>
        <w:t>8. Il s’ensuit que le recours doit être rejeté dans la mesure où il est recevable.</w:t>
      </w:r>
    </w:p>
    <w:p>
      <w:r>
        <w:rPr>
          <w:b/>
        </w:rPr>
        <w:t>E. 9</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 courants supporteront ainsi – solidairement – les frais du présent arrêt, fixés à CHF 6'000.-- (art. 73 al. 2 LOAP et art. 8 al. 3 du règlement du Tribunal pénal fédéral sur les frais, émoluments, dépens, et indemnités de la procé- dure pénale fédérale du 31 août 2010 [RFPPF; RS 173.713.162] et art. 63 al. 5 PA), couverts par l'avance de frais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