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RR.2016.70 vom 7. Juli 2016</w:t>
      </w:r>
    </w:p>
    <w:p>
      <w:r>
        <w:t>Bundesstrafgericht, 2016-07-07, DE</w:t>
      </w:r>
    </w:p>
    <w:p>
      <w:r>
        <w:rPr>
          <w:b/>
        </w:rPr>
        <w:t xml:space="preserve">Quelle: </w:t>
      </w:r>
      <w:r>
        <w:t>https://mcp.opencaselaw.ch/entscheid/bstger_RR.2016.70</w:t>
      </w:r>
    </w:p>
    <w:p>
      <w:r>
        <w:t>FR: TPF RR.2016.70 du 7 juillet 2016</w:t>
      </w:r>
    </w:p>
    <w:p>
      <w:r>
        <w:t>IT: TPF RR.2016.70 del 7 luglio 2016</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(mit Briefwechseln; RVUS; 0.351.933.6) sowie das Bundesgesetz vom 3. Oktober 1975 zu diesem Staatsvertrag (BG- RVUS; SR 351.93) massgebend.</w:t>
      </w:r>
    </w:p>
    <w:p>
      <w:r>
        <w:rPr>
          <w:b/>
        </w:rPr>
        <w:t>E. 1.2</w:t>
      </w:r>
    </w:p>
    <w:p>
      <w:r>
        <w:t>Soweit dieser Staatsvertrag und das hierzu erlassene Bundesgesetz be- stimmte Fragen nicht abschliessend regeln, gelangen das Bundesgesetz vom 20. März 1981 (Rechtshilfegesetz, IRSG; SR 351.1) und die Verordnung vom 24. Februar 1982 über internationale Rechtshilfe in Strafsachen (Rechtshilfeverordnung, IRSV; SR 351.11) zur Anwendung (Art. 36a BG- RVUS und Art. 1 Abs. 1 lit. b IRSG). Das innerstaatliche Recht gelangt nach dem Günstigkeitsprinzip auch dann zur Anwendung, wenn dieses geringere Anforderungen an die Rechtshilfe stellt (vgl. Art. 38 Ziff. 1 RVUS; BGE 140 IV 123 E. 2; 137 IV 33 E. 2.2.2 S. 40 f.; 136 IV 82 E. 3.1; 122 II 140 E. 2 S. 142; TPF 2011 131 E. 1). Vorbehalten bleibt die Wahrung der Menschen- rechte (BGE 135 IV 212 E. 2.3; 123 II 595 E. 7c S. 617; TPF 2008 24 E. 1.1 S. 26). Auf Beschwerdeverfahren sind zudem die Bestimmungen des Bun- desgesetzes vom 20. Dezember 1968 über das Verwaltungsverfahren (Ver- waltungsverfahrensgesetz, VwVG; SR 172.021) anwendbar (Art. 7 Abs. 1 BG-RVUS, Art. 39 Abs. 2 lit. b i.V.m. Art. 37 Abs. 2 lit. a StBOG).</w:t>
      </w:r>
    </w:p>
    <w:p>
      <w:r>
        <w:t>- 4 -</w:t>
      </w:r>
    </w:p>
    <w:p>
      <w:r>
        <w:rPr>
          <w:b/>
        </w:rPr>
        <w:t>E. 2.1</w:t>
      </w:r>
    </w:p>
    <w:p>
      <w:r>
        <w:t>Die Schlussverfügung der Zentralstelle USA des BJ unterliegt der Be- schwerde an die Beschwerdekammer des Bundesstrafgerichts (Art. 17 Abs. 1 BG-RVUS). Die entsprechende Beschwerdefrist beträgt 30 Tage ab der schriftlichen Mitteilung der Verfügung (Art. 17c BG-RVUS). Zur Be- schwerdeführung ist berechtigt, wer persönlich und direkt von einer Rechts- hilfemassnahme betroffen ist und ein schutzwürdiges Interesse an deren Aufhebung oder Änderung hat (Art. 17a BG-RVUS).</w:t>
      </w:r>
    </w:p>
    <w:p>
      <w:r>
        <w:rPr>
          <w:b/>
        </w:rPr>
        <w:t>E. 2.2</w:t>
      </w:r>
    </w:p>
    <w:p>
      <w:r>
        <w:t>Die angefochtene Schlussverfügung beinhaltet die rechtshilfeweise Heraus- gabe von Bankunterlagen betreffend sechs Konten, welche auf sechs ver- schiedene Personen lauten. Die Beschwerdeführerin ist von der Erhebung von Informationen lediglich hinsichtlich des auf sie lautenden Kontos im Sinne des Art. 17a BG-RVUS persönlich und direkt betroffen (BGE 124 II 180 E. 1b; 118 Ib 547 E. 1d; TPF 2011 131 E. 2.2). Auf die im Übrigen form- und fristgerecht eingereichte Beschwerde ist somit einzutreten, soweit sich diese auf die Herausgabe der Bankunterlagen betreffend das Konto richtet, welches auf die Beschwerdeführerin lautet.</w:t>
      </w:r>
    </w:p>
    <w:p>
      <w:r>
        <w:rPr>
          <w:b/>
        </w:rPr>
        <w:t>E. 3.1</w:t>
      </w:r>
    </w:p>
    <w:p>
      <w:r>
        <w:t>Die Beschwerdeführerin rügt, dass die Behauptung, wonach ihre Vermö- genswerte deliktischer Herkunft seien, jeglicher Grundlage entbehre und nicht auf Tatsachen beruhen würde (act. 1 S. 3).</w:t>
      </w:r>
    </w:p>
    <w:p>
      <w:r>
        <w:rPr>
          <w:b/>
        </w:rPr>
        <w:t>E. 3.2</w:t>
      </w:r>
    </w:p>
    <w:p>
      <w:r>
        <w:t>Das Rechtshilfeersuchen muss insbesondere Angaben über Gegenstand und Art von Untersuchung oder Verfahren und eine Beschreibung der we- sentlichen behaupteten oder festzustellenden Handlungen enthalten (Art. 29 Ziff. 1 lit. a RVUS). Ausserdem muss das Ersuchen in Fällen, in denen wie hier Zwangsmassnahmen angewendet werden, die strafbare Handlung be- zeichnen (Art. 4 Ziff. 2 RVUS). Soweit notwendig und möglich sind zudem Angaben zu machen zu Zeugen und anderen durch das Ersuchen betroffe- nen Personen bzw. zum Hauptgrund für die Erforderlichkeit der gewünsch- ten Beweise oder Auskünfte (Art. 29 Ziff. 1 lit. b und Ziff. 2 lit. a RVUS; siehe auch Art. 28 Abs. 2 und 3 IRSG i.V.m. Art. 10 IRSV). Diese Angaben müssen der ersuchten Behörde die Prüfung erlauben, ob die doppelte Strafbarkeit gegeben ist, ob es sich um einen der gemäss Art. 4 Ziff. 2 RVUS gelisteten, rechtshilfeberechtigten Tatbestände handelt, ob die Handlungen, wegen de- nen um Rechtshilfe ersucht wird, nicht politische, militärische oder fiskalische Delikte darstellen (Art. 2 Ziff. 1 RVUS) und ob der Grundsatz der Verhältnis- mässigkeit gewahrt wird (BGE 118 Ib 111 E. 5b S. 122; siehe hierzu auch</w:t>
      </w:r>
    </w:p>
    <w:p>
      <w:r>
        <w:t>- 5 -</w:t>
      </w:r>
    </w:p>
    <w:p>
      <w:r>
        <w:t>das Urteil des Bundesgerichts 1A.7/2007 vom 3. Juli 2007, E. 5.2 mit Hinweis auf BGE 129 II 97 E. 3.1 S. 98 f.;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S. 454; 136 IV 4 E. 4.1; 133 IV 76 E. 2.2; 132 II 81 E. 2.1 S. 85; TPF 2011 194 E. 2.1 S. 196; Entscheid des Bundesstrafgerichts RR.2013.199 vom 14. Januar 2014, E. 4.1).</w:t>
      </w:r>
    </w:p>
    <w:p>
      <w:r>
        <w:rPr>
          <w:b/>
        </w:rPr>
        <w:t>E. 3.3</w:t>
      </w:r>
    </w:p>
    <w:p>
      <w:r>
        <w:t>Dem Rechtshilfeersuchen ist folgender Sachverhaltsvorwurf zu entnehmen:</w:t>
      </w:r>
    </w:p>
    <w:p>
      <w:r>
        <w:t>Wegen einer Stromnotlage in Venezuela gegen Ende 2009 sei durch den damaligen Präsidenten Venezuelas, E., am 2. Februar 2010 eine Notverord- nung unterzeichnet worden, welche dazu gedient habe, die Standardverfah- ren für die Ausschreibung, die Abgabe von Geboten und die Vertragsverga- be durch venezolanische staatlich geleitete Unternehmen zu beseitigen. Als Reaktion auf die Stromnotlage und entsprechend dem modifizierten Verga- bevorgang habe das Unternehmen F. SA mit dem Kauf von Turbinenausrüs- tung im Wert von ca. 767 Mio. USD von drei Unternehmen mit Hauptsitz oder Betrieben in den USA (nämlich G. LLC, H. und I.) begonnen (act. 7.1.1).</w:t>
      </w:r>
    </w:p>
    <w:p>
      <w:r>
        <w:t>Die US-Behörden ermitteln seit 2012 gegen B. und C. u.a. wegen des Ver- dachts der Zahlung von Bestechungsgeldern an verschiedene Regierungs- beamte in Venezuela aber auch Funktionäre der venezolanischen staats- eigenen und staatlich geleiteten Ölfirma F. SA, um sich Verträge für Strom- erzeugungsprojekte mit der F. SA und deren Tochtergesellschaften für den Kauf von Turbinen und sonstiger Ausrüstung zur Stromerzeugung zu sichern (act. 7.1.1).</w:t>
      </w:r>
    </w:p>
    <w:p>
      <w:r>
        <w:t>- 6 -</w:t>
      </w:r>
    </w:p>
    <w:p>
      <w:r>
        <w:t>Gemäss bisherigen Erkenntnissen der ersuchenden Behörde soll die F. SA die Turbinenausrüstung im Wert von ca. 767 Mio. USD nicht direkt von den Originalherstellern der Stromausrüstung gekauft, sondern mit mehreren Zwi- schenhandelsunternehmen, einschliesslich die G. LLC und das Unterneh- men H., Verträge abgeschlossen haben, damit diese Unternehmen wiede- rum die Ausrüstung von etablierten Herstellern beschaffen würden (act. 7.1.1).</w:t>
      </w:r>
    </w:p>
    <w:p>
      <w:r>
        <w:t>Die G. LLC stehe im Besitz von B. und dessen Sohn, Präsidentin des Unter- nehmens sei jedoch zum Zeitpunkt der Gründung J. gewesen, die damals 21 Jahre alt gewesen sei und keinerlei einschlägige Berufserfahrung in der Energieindustrie gehabt habe (act. 7.1.1).</w:t>
      </w:r>
    </w:p>
    <w:p>
      <w:r>
        <w:t>Um eine Beteiligung an diversen Geschäften mit der F. SA zu verbergen, habe B. mehrere Unternehmen (u.a. die G. LLC und die K. Ltd) genutzt oder andere Personen vorgeschoben, um der F. SA mehrere Angebote vorzule- gen und auf diese Weise den Anschein einer existierenden Konkurrenz zu erwecken. Zeugen hätten ausgesagt, dass B. im Rahmen des Transaktions- vorganges Bestechungsgelder an Funktionäre der F. SA gezahlt hätte, an- gefangen damit, dass er G. LLC auf das genehmigte Lieferantenverzeichnis der F. SA gebracht habe, bis hin zur Erlangung des Turbinenvertrages und zur Freigabe von Inspektionen, damit Zahlungen beschleunigt würden (act. 7.1.1).</w:t>
      </w:r>
    </w:p>
    <w:p>
      <w:r>
        <w:t>Nach Angaben mehrerer Zeugen sei C. der Geschäftspartner von B. gewe- sen. C. habe sein eigenes Netz von Unternehmen geführt, welche in vorge- täuschter Weise miteinander und mit den Unternehmen von B. um Aufträge für die F. SA konkurriert hätten. Gemäss Analyse der in den USA vorhande- nen Bankkonten, die von B., seinen Unternehmen und seinen Familienmit- gliedern geführt würden und mit den venezolanischen Energieverträgen im Zusammenhang stünden, bestehe der Verdacht, dass B. und C. versucht hätten, Zahlungen an Funktionäre der F. SA zu verschleiern, indem sie diese zunächst über Unternehmen geleitet hätten, die von ihnen selbst oder Fami- lienmitgliedern geführt würden. Die US-Behörden haben eine Anzahl von di- rekten Zahlungen an Funktionäre der F. SA aus Geldmitteln identifiziert, die zwischen verschiedenen von B. geführten Konten hin- und hergeschoben worden seien, nachdem die Zahlungen von der F. SA oder einer Schwester- gesellschaft der F. SA eingegangen seien. Des Weiteren bestehe der Ver- dacht, dass B. und C. Zahlungen auf Schweizer Bankkonten vorgenommen hätten, die auf Geldmittel zurückverfolgt werden können, die von F. SA oder deren Schwester- oder Tochtergesellschaft eingingen (act. 7.1.1).</w:t>
      </w:r>
    </w:p>
    <w:p>
      <w:r>
        <w:t>- 7 -</w:t>
      </w:r>
    </w:p>
    <w:p>
      <w:r>
        <w:t>Das Unternehmen H. werde von L. (Mitgründer und Präsident) und M. (Mit- gründer und Vizepräsident) geführt. Beide hätten keine einschlägige Berufs- erfahrung, Ausbildung oder irgendwelche Fachkenntnisse in der Energiein- dustrie und trotzdem sei es dem Unternehmen H. im Jahr 2010 gelungen, als Reaktion auf die Stromnotlage, über ein Vertragsverhältnis mit dem Un- ternehmen N., Verträge für den Verkauf von Turbinenausrüstung und andere damit verbundenen Dienstleistungen an die F. SA in der Höhe von ca. 209 Mio. USD zu sichern. Venezolanischen Medienberichten zufolge habe die F. SA für die Turbinenausrüstung ungefähr den dreifachen Marktwert be- zahlt. Eine Analyse über US-Finanzkonten, die mit den venezolanischen Energieverträgen im Zusammenhang stünden, habe gezeigt, dass das Un- ternehmen H. an eine Anzahl von Konten in der Schweiz Zahlungen geleistet hätte, von denen sich viele zeitlich mit den von F. SA oder deren Schwester- oder Tochtergesellschaften bei Unternehmen H. eingegangenen Zahlungen decken würden (act. 7.1.1).</w:t>
      </w:r>
    </w:p>
    <w:p>
      <w:r>
        <w:t>Die ersuchende Behörde vermutet demnach, dass mutmasslich deliktische Gelder über eine Vielzahl von Bankkonten von den Beschuldigten und deren Familienangehörigen sowie Bekannten wirtschaftlich zuzurechnenden Ge- sellschaften in die Schweiz geflossen seien. So seien gemäss der ersuchen- den Behörde bei der Beschwerdeführerin im Juni 2010 auf deren Konto bei der Bank D. von Konten, die von B. geführt werden, insgesamt ungefähr USD 1,2 Mio. eingegangen, die in vollem Umfang direkt auf Geldmittel der F. SA zurück zu verfolgen seien. So habe zum Beispiel das Unternehmen O. am 1. Juni 2012 ungefähr USD 13,7 Mio. an die K. Ltd überwiesen, welche an- schliessend auf ein zweites Konto der K. Ltd überwiesen worden seien. Am selben Tag habe die K. Ltd ungefähr USD 766‘000.-- auf das Konto der Be- schwerdeführerin bei der Bank D. überwiesen (act. 7.1.1 S. 9).</w:t>
      </w:r>
    </w:p>
    <w:p>
      <w:r>
        <w:rPr>
          <w:b/>
        </w:rPr>
        <w:t>E. 3.4</w:t>
      </w:r>
    </w:p>
    <w:p>
      <w:r>
        <w:t>Soweit die Beschwerdeführerin rügt, die Anschuldigungen der ersuchenden Behörde würden nicht auf Tatsachen beruhen, ist ihr entgegen zu halten, dass die ersuchte Behörde sich beim Entscheid über ein Rechtshilfeersu- chen nicht dazu auszusprechen hat, ob die darin angeführten Tatsachen zu- treffen oder nicht (s.o.). Der vorstehend wiedergegebenen Sachverhalts- schilderung der ersuchenden Behörde sind keine offensichtlichen Fehler, Lü- cken oder Widersprüche zu entnehmen, welche das Rechtshilfeersuchen so- fort entkräften würden. Solche Mängel zeigt die Beschwerdeführerin mit ih- ren pauschalen Bestreitungen auch nicht auf. Die ersuchte Behörde ist daher an die Sachverhaltsdarstellung im Rechtshilfeersuchen gebunden. Die Rüge geht fehl.</w:t>
      </w:r>
    </w:p>
    <w:p>
      <w:r>
        <w:t>- 8 -</w:t>
      </w:r>
    </w:p>
    <w:p>
      <w:r>
        <w:rPr>
          <w:b/>
        </w:rPr>
        <w:t>E. 4.1</w:t>
      </w:r>
    </w:p>
    <w:p>
      <w:r>
        <w:t>Die Beschwerdeführerin bringt in einem nächsten Punkt vor, das Rechtshil- feersuchen stelle eine “fishing expedition“ dar und verletze das Verhältnis- mässigkeitsprinzip. Die ersuchende Behörde zeige keinen Zusammenhang auf zwischen den Vorwürfen gegenüber “B.“ und den zu übermittelnden In- formationen betreffend die Beschwerdeführerin. Sie liefere auch keine Erklä- rung bezüglich einer allfälligen Beteiligung der Beschwerdeführerin an den Vorgängen in Venezuela oder den USA (act. 1 S. 4). Weiter gebe sie keine Erklärung zu den Gründen, weshalb die Bankdokumentation betreffend die Beschwerdeführerin notwendig sei (act. 1 S. 5).</w:t>
      </w:r>
    </w:p>
    <w:p>
      <w:r>
        <w:rPr>
          <w:b/>
        </w:rPr>
        <w:t>E. 4.2</w:t>
      </w:r>
    </w:p>
    <w:p>
      <w:r>
        <w:t>Rechtshilfemassnahmen haben generell dem Prinzip der Verhältnismässig- keit zu genügen (ROBERT ZIMMERMANN, La coopération judiciaire internatio- nale en matière pénale, 4. Aufl., Bern 2014, N. 717 ff., mit Verweisen auf die Rechtsprechung; DONATSCH/HEIMGARTNER/MEYER/SIMONEK, Internationale Rechtshilfe, Zürich/Basel/Genf 2015, S. 91 ff.; POPP, Grundzüge der interna- tionalen Rechtshilfe in Strafsachen, Basel 2001, N. 404; siehe statt vieler den Entscheid des Bundesstrafgerichts RR.2011.193 vom 9. Juli 2012, 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grundsätzlich dem Ermessen der Behörden dieses Staates anheimgestellt ist. Da der ersuchte Staat im Allge- meinen nicht über die Mittel verfügt, die es ihm erlauben würden, sich über die Zweckmässigkeit bestimmter Beweise im ausländischen Verfahren aus- zusprechen,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 verfahren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widerlegen zu können (TPF 2011 97 E. 5.1 S. 106 m.w.H.). Dabei darf die ersuchte Rechtshilfebehörde über ein im Rechtshilfeersuchen gestelltes Begehren nicht hinausgehen (Übermassverbot; BGE 136 IV 82 E. 4.1 S. 85 f.). Die</w:t>
      </w:r>
    </w:p>
    <w:p>
      <w:r>
        <w:t>- 9 -</w:t>
      </w:r>
    </w:p>
    <w:p>
      <w:r>
        <w:t>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S. 468; TPF 2011 97 E. 5.1 S. 106 m.w.H.).</w:t>
      </w:r>
    </w:p>
    <w:p>
      <w:r>
        <w:rPr>
          <w:b/>
        </w:rPr>
        <w:t>E. 4.3</w:t>
      </w:r>
    </w:p>
    <w:p>
      <w:r>
        <w:t>Entgegen den Ausführungen der Beschwerdeführerin ist der Sachzusam- menhang zwischen ihr bzw. ihrem Konto und den Hauptbeschuldigten der vorstehend wiedergegebenen Sachverhaltsdarstellung der ersuchenden Be- hörde deutlich zu entnehmen, weshalb, um unnötige Wiederholungen zu ver- meiden, vollumfänglich darauf verwiesen werden kann. Von einer “fishing expedition“ kann keine Rede sein. Die Beschwerdegegnerin führt in der an- gefochtenen Schlussverfügung sodann aus, dass die Herausgabe der Bank- unterlagen für das ausländische Strafverfahren notwendig sei, damit u.a. der Geldfluss rekonstruiert werden könne (act. 1.2 S. 8). Dem kann ohne Weite- res gefolgt werden. Die erhobenen Unterlagen erweisen sich für die in den USA geführten Ermittlungen als potentiell erheblich und deren Herausgabe an die ersuchende Behörde ist mit dem Grundsatz der Verhältnismässigkeit vereinbar. Nach dem Gesagten erweist sich die Beschwerde auch in diesem Punkt als unbegründet.</w:t>
      </w:r>
    </w:p>
    <w:p>
      <w:r>
        <w:rPr>
          <w:b/>
        </w:rPr>
        <w:t>E. 5</w:t>
      </w:r>
    </w:p>
    <w:p>
      <w:r>
        <w:t>Andere Hindernisse, welche der zu gewährenden Rechtshilfe entgegen ste- hen würden, wurden weder geltend gemacht noch sind solche ersichtlich. Unter diesen Umständen erweist sich die angefochtene Herausgabe von Be- weismitteln als rechtmässig. Die Beschwerde ist daher sowohl im Haupt- wie auch im Eventualstandpunkt vollumfänglich abzuweisen.</w:t>
      </w:r>
    </w:p>
    <w:p>
      <w:r>
        <w:rPr>
          <w:b/>
        </w:rPr>
        <w:t>E. 6</w:t>
      </w:r>
    </w:p>
    <w:p>
      <w:r>
        <w:t>Bei diesem Ausgang des Verfahrens sind die Gerichtskosten der Beschwer- deführerin aufzuerlegen (Art. 63 Abs. 1 VwVG). Die Gerichtsgebühr ist auf Fr. 5'000.-- festzusetzen (Art. 63 Abs. 5 VwVG i.V.m. Art. 73 StBOG sowie Art. 5 und 8 Abs. 3 lit. a des Reglements des Bundesstrafgerichts vom</w:t>
      </w:r>
    </w:p>
    <w:p>
      <w:r>
        <w:t>- 10 -</w:t>
      </w:r>
    </w:p>
    <w:p>
      <w:r>
        <w:t>31. August 2010 über die Kosten, Gebühren und Entschädigungen in Bun- desstrafverfahren [BStKR; SR 173.713.162]), unter Anrechnung des geleis- teten Kostenvorschusses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