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RR.2016.38 vom 10. Mai 2016</w:t>
      </w:r>
    </w:p>
    <w:p>
      <w:r>
        <w:t>Bundesstrafgericht, 2016-05-10, FR</w:t>
      </w:r>
    </w:p>
    <w:p>
      <w:r>
        <w:rPr>
          <w:b/>
        </w:rPr>
        <w:t xml:space="preserve">Quelle: </w:t>
      </w:r>
      <w:r>
        <w:t>https://mcp.opencaselaw.ch/entscheid/bstger_RR.2016.38</w:t>
      </w:r>
    </w:p>
    <w:p>
      <w:r>
        <w:t>FR: TPF RR.2016.38 du 10 mai 2016</w:t>
      </w:r>
    </w:p>
    <w:p>
      <w:r>
        <w:t>IT: TPF RR.2016.38 del 10 maggio 2016</w:t>
      </w:r>
    </w:p>
    <w:p>
      <w:pPr>
        <w:pStyle w:val="Heading2"/>
      </w:pPr>
      <w:r>
        <w:t>Regeste</w:t>
      </w:r>
    </w:p>
    <w:p>
      <w:r>
        <w:t>Extradition au Kosovo. Décision d'extradition (art. 55 EIMP); assistance judiciaire gratuite (art. 65 PA).</w:t>
      </w:r>
    </w:p>
    <w:p>
      <w:pPr>
        <w:pStyle w:val="Heading2"/>
      </w:pPr>
      <w:r>
        <w:t>Erwägungen</w:t>
      </w:r>
    </w:p>
    <w:p>
      <w:r>
        <w:rPr>
          <w:b/>
        </w:rPr>
        <w:t>E. 1.1</w:t>
      </w:r>
    </w:p>
    <w:p>
      <w:r>
        <w:t>L'entraide judiciaire entre le Kosovo et la Confédération suisse est régie par la loi fédérale sur l’entraide internationale en matière pénale (EIMP; RS 351.1), ainsi que son ordonnance d'exécution (OEIMP; RS 351.11; cf. arrêt du Tribunal pénal fédéral RR.2010.233 du 4 avril 2011, consid. 1.1 et la jurisprudence citée).</w:t>
      </w:r>
    </w:p>
    <w:p>
      <w:r>
        <w:rPr>
          <w:b/>
        </w:rPr>
        <w:t>E. 1.2</w:t>
      </w:r>
    </w:p>
    <w:p>
      <w:r>
        <w:t>La décision par laquelle l’OFJ accorde l’extradition (art. 55 al. 1 EIMP) peut faire l’objet d’un recours devant la Cour des plaintes du Tribunal pénal fédéral (art. 55 al. 3 EIMP, en lien avec les art. 25 EIMP et 50 al. 1 de la loi fédérale sur la procédure administrative [PA; RS 172.021]). La personne extradée a qualité pour recourir au sens de l’art. 21 al. 3 EIMP (ATF 122 II 373 consid. 1b; 118 Ib 269 consid. 2d). Formé dans les trente jours à compter de la notification de la décision d’extradition (cf. art. 80k EIMP), le recours est formellement recevable.</w:t>
      </w:r>
    </w:p>
    <w:p>
      <w:r>
        <w:rPr>
          <w:b/>
        </w:rPr>
        <w:t>E. 2</w:t>
      </w:r>
    </w:p>
    <w:p>
      <w:r>
        <w:t>Le recourant dénonce tout d’abord une violation des art. 2 et 37 al. 2 EIMP, en lien avec l’art. 6 CEDH.</w:t>
      </w:r>
    </w:p>
    <w:p>
      <w:r>
        <w:rPr>
          <w:b/>
        </w:rPr>
        <w:t>E. 2.1.1</w:t>
      </w:r>
    </w:p>
    <w:p>
      <w:r>
        <w:t>Dans un premier sous-grief, l’intéressé prétend qu’il a été jugé par défaut en deuxième instance, sans avoir été dûment convoqué à l’audience de jugement.</w:t>
      </w:r>
    </w:p>
    <w:p>
      <w:r>
        <w:rPr>
          <w:b/>
        </w:rPr>
        <w:t>E. 2.1.2</w:t>
      </w:r>
    </w:p>
    <w:p>
      <w:r>
        <w:t>Il ressort du jugement d’appel que ni le recourant ni son défenseur ne se sont rendus à l’audience de jugement, bien qu’ils y eussent été régulièrement convoqués (p. 5), et que le second a déposé devant la cour d’appel du Kosovo des observations écrites (p. 6 s.), de sorte que l'art. 6 CEDH n’a pas été violé en l’espèce (cf. arrêt du Tribunal pénal fédéral RR.2015.298 du 12 janvier 2016, consid. 3.3.2; ZIMMERMANN, La coopération judiciaire internationale en matière pénale, 4e édition 2014, n° 689, p. 708, et les références citées).</w:t>
      </w:r>
    </w:p>
    <w:p>
      <w:r>
        <w:t>- 4 -</w:t>
      </w:r>
    </w:p>
    <w:p>
      <w:r>
        <w:t>L’argumentation du recourant, selon laquelle les passages en question du jugement d’appel ne se rapportent pas à lui, mais à un tiers, ne saurait être suivie.</w:t>
      </w:r>
    </w:p>
    <w:p>
      <w:r>
        <w:t>Ainsi que le relève le recourant, le jugement d’appel se réfère à plusieurs endroits, et notamment en page 5, à C., et non à A. Il s’agit toutefois manifestement d’une erreur de plume. En effet, outre le recourant, seules les autres personnes prévenues dans la procédure ayant mené en première instance au jugement du 17 juin 2013 sont susceptibles d’être parties à celle qui s’est terminée avec le jugement d’appel du 11 novembre 2013. Or, celles-ci se nomment D., E., F. et G. Dès lors, aucun des prévenus en première instance ne se nomme C. et, parmi ceux-ci, seul le recourant porte un nom et un prénom susceptibles d’être confondus avec une personne ainsi dénommée. A cela s’ajoute que l’avocat ayant représenté le (seul) recourant en première instance est le même que celui ayant défendu en appel la personne désignée dans le jugement du 11 novembre 2013 comme C. (cf. jugement de première instance p. 11 et jugement d’appel p. 5).</w:t>
      </w:r>
    </w:p>
    <w:p>
      <w:r>
        <w:rPr>
          <w:b/>
        </w:rPr>
        <w:t>E. 2.2.1</w:t>
      </w:r>
    </w:p>
    <w:p>
      <w:r>
        <w:t>Dans un second sous-grief, le recourant affirme qu’il n’a pas eu un procès conforme à l’art. 6 CEDH, dès lors qu’un des juges l’ayant condamné en appel a été arrêté pour soupçons de corruption. Il se réfère à un article publié le 23 juillet 2015 dans le média en ligne www.balkaninsight.com (act. 1.4).</w:t>
      </w:r>
    </w:p>
    <w:p>
      <w:r>
        <w:rPr>
          <w:b/>
        </w:rPr>
        <w:t>E. 2.2.2</w:t>
      </w:r>
    </w:p>
    <w:p>
      <w:r>
        <w:t>Les soupçons de corruption en cause ne concernent qu’un des trois membres du collège de juges ayant condamné le recourant en deuxième instance. De plus, ce dernier n’avance pas le moindre élément susceptible de démontrer l’existence de liens concrets entre les faits justifiant lesdits soupçons et la cause dans laquelle il a été jugé. Qui plus est, le recourant ne prétend pas que le magistrat en question aurait été condamné et aucune information en ce sens n’apparaît sur le site internet dont est extrait l’article précité ; il faut donc considérer que ce juge est actuellement au bénéfice de la présomption d’innocence. Dans ces conditions, il n’existe pas le moindre élément concret et objectif laissant à penser que le procès d’appel au terme duquel le recourant a été condamné a été entaché de vices fondant une violation à l’art. 6 CEDH. Le moyen est donc mal fondé.</w:t>
      </w:r>
    </w:p>
    <w:p>
      <w:r>
        <w:rPr>
          <w:b/>
        </w:rPr>
        <w:t>E. 3</w:t>
      </w:r>
    </w:p>
    <w:p>
      <w:r>
        <w:t>Enfin, le recourant ne peut pas être suivi lorsqu’il dénonce une « possible violation du principe de la spécialité », arguant que les autorités du Kosovo pourraient l’incarcérer pour des motifs autres que ceux ayant donné lieu à l’extradition. En effet, l’Etat requérant a expressément fourni les garanties diplomatiques usuelles à cet égard (act. 4.5, p. 3).</w:t>
      </w:r>
    </w:p>
    <w:p>
      <w:r>
        <w:t>- 5 -</w:t>
      </w:r>
    </w:p>
    <w:p>
      <w:r>
        <w:t>Quant à l’argumentation du recourant selon laquelle il n’aurait, quoi qu’en disent les autorités kosovares, pas frappé une personne avec la crosse de son revolver, elle est dénuée de pertinence pour l’issue du présent litige, dès lors que l’Etat requis ne s’écarte de l’exposé des faits décrits dans la demande d’entraide uniquement en cas de lacunes ou contradictions évidentes (ATF 126 II 495 consid. 5e/aa; 118 Ib 111 consid. 5b), immédiatement établies, et qu’aucune de ces hypothèses n’est réalisée en l’occurrence.</w:t>
      </w:r>
    </w:p>
    <w:p>
      <w:r>
        <w:rPr>
          <w:b/>
        </w:rPr>
        <w:t>E. 4</w:t>
      </w:r>
    </w:p>
    <w:p>
      <w:r>
        <w:t>Les considérations qui précèdent conduisent au rejet du recours.</w:t>
      </w:r>
    </w:p>
    <w:p>
      <w:r>
        <w:rPr>
          <w:b/>
        </w:rPr>
        <w:t>E. 5</w:t>
      </w:r>
    </w:p>
    <w:p>
      <w:r>
        <w:t>Aux termes de l'art. 65 PA, l'octroi de l'assistance judiciaire est subordonnée notamment à la condition que les conclusions prises sur le fond ne soient pas vouées à l'échec. Or, celle-ci n'est pas remplie en l'espèce. Les motifs avancés à l'appui du recours se sont en effet avérés infondés à la lumière de dispositions légales, respectivement de principes jurisprudentiels, clairs et le recourant n'a fait à aucun moment état de circonstances tout à fait particulières qui pourraient justifier qu'on s'écarte, à titre exceptionnel, de ceux-ci. L'assistance judiciaire doit partant être refusée.</w:t>
      </w:r>
    </w:p>
    <w:p>
      <w:r>
        <w:rPr>
          <w:b/>
        </w:rPr>
        <w:t>E. 6</w:t>
      </w:r>
    </w:p>
    <w:p>
      <w:r>
        <w:t>Il s'ensuit que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Le recourant supportera ainsi les frais du présent arrêt qui seront fixés, compte tenu des circonstances, à CHF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