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RR.2016.321 vom 24. März 2017</w:t>
      </w:r>
    </w:p>
    <w:p>
      <w:r>
        <w:t>Bundesstrafgericht, 2017-03-24, IT</w:t>
      </w:r>
    </w:p>
    <w:p>
      <w:r>
        <w:rPr>
          <w:b/>
        </w:rPr>
        <w:t xml:space="preserve">Quelle: </w:t>
      </w:r>
      <w:r>
        <w:t>https://mcp.opencaselaw.ch/entscheid/bstger_RR.2016.321</w:t>
      </w:r>
    </w:p>
    <w:p>
      <w:r>
        <w:t>FR: TPF RR.2016.321 du 24 mars 2017</w:t>
      </w:r>
    </w:p>
    <w:p>
      <w:r>
        <w:t>IT: TPF RR.2016.321 del 24 marzo 2017</w:t>
      </w:r>
    </w:p>
    <w:p>
      <w:pPr>
        <w:pStyle w:val="Heading2"/>
      </w:pPr>
      <w:r>
        <w:t>Regeste</w:t>
      </w:r>
    </w:p>
    <w:p>
      <w:r>
        <w:t>Assistenza giudiziaria internazionale in materia penale all'Italia. Sequestro di valori (art. 80e cpv. 2 lett. a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 zione" edito dalla Cancelleria federale, Berna 2014). Di rilievo nella 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 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Il ricorso è stato tempestivamente interposto contro svariate decisioni di entrata in materia ed esecuzione dell'autorità federale d'esecuzione (v. art. 80k AIMP). Tuttavia, contrariamente a quanto sostenuto dai ricorrenti, le decisioni impu- gnate, non ordinando la trasmissione all’estero di mezzi di prova, ma limitandosi a bloccare dei conti bancari e a sequestrare la relativa documentazione, non sono decisioni di chiusura bensì incidentali e non hanno dunque “effetto so- spensivo per legge” (ricorso pag. 4, act. 1). Le decisioni incidentali anteriori alla decisione di chiusura possono essere impugnate separatamente se causano un pregiudizio immediato e irreparabile mediante il sequestro di beni e valori</w:t>
      </w:r>
    </w:p>
    <w:p>
      <w:r>
        <w:t>- 6 -</w:t>
      </w:r>
    </w:p>
    <w:p>
      <w:r>
        <w:t>oppure la presenza di persone che partecipano al processo (art. 80e cpv. 2 AIMP). La legittimazione delle società è data per quanto riguarda i conti di cui esse risultano essere titolari (v. art. 80h lett. b AIMP e art. 9a OAIMP; DTF 118 Ib 547 consid. 1d; TPF 2007 79 consid. 1.6 pag. 82). Essa fa per contro difetto per quanto riguarda i conti per i quali i ricorrenti risultano avente diritto econo- mico o dispone semplicemente di una procura (v. DTF 122 II 130 consid. 2b e rinvii).</w:t>
      </w:r>
    </w:p>
    <w:p>
      <w:r>
        <w:rPr>
          <w:b/>
        </w:rPr>
        <w:t>E. 2</w:t>
      </w:r>
    </w:p>
    <w:p>
      <w:r>
        <w:t>I ricorrenti sostengono innanzitutto di non essere stati messi nella possibilità di partecipare alla procedura di analisi della documentazione acquisita dal MPC presso i vari istituti di credito, questo in violazione del loro diritto di essere sentiti. Inoltre, essendo la documentazione in parola inutile per l’inchiesta estera, le decisioni impugnate violerebbero il principio della proporzionalità. Essi censu- rano parimenti l’assenza di giurisdizione dell’autorità rogante nonché la contrad- dittorietà e l’insufficienza della motivazione alla base della rogatoria. La conces- sione dell’assistenza giudiziaria sarebbe contraria ai principi di legalità e di pre- sunzione d’innocenza. Essendo l’origine dei fondi sequestrati legittima, le mi- sure cautelari adottate sarebbero infondate.</w:t>
      </w:r>
    </w:p>
    <w:p>
      <w:r>
        <w:rPr>
          <w:b/>
        </w:rPr>
        <w:t>E. 2.1</w:t>
      </w:r>
    </w:p>
    <w:p>
      <w:r>
        <w:t>In base alla giurisprudenza, nel caso di ricorsi rivolti contro decisioni incidentali ai sensi dell’art. 80e cpv. 2 AIMP (v. supra consid. 1.3),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A., in sede di replica, ha fornito svariata documentazione attestante impegni finanziari delle società a lui riconducibili, soprattutto legati a ristruttura- zioni in ambito immobiliare e a prestazioni ricevute per consulenze architettoni- che (v. act. 16.2). Egli non produce tuttavia alcuna documentazione che per- metta di chiarire la situazione economica di dette società, omettendo in partico- lare di indicare sia i loro redditi che il loro patrimonio, per cui a queste condizioni risulta impossibile per questa Corte valutare l’effettiva esistenza di pregiudizi</w:t>
      </w:r>
    </w:p>
    <w:p>
      <w:r>
        <w:t>- 7 -</w:t>
      </w:r>
    </w:p>
    <w:p>
      <w:r>
        <w:t>immediati ed irreparabili in capo alle singole società. In altre parole, i ricorrenti non hanno dimostrato, mediante documentazione contabile e fiscale, di non di- sporre di altri mezzi per far fronte ai loro impegni finanziari. A. si limita ad affer- mare che i provvedimenti contestati “comportano la totale paralisi di quasi tutte le risorse finanziarie attingibili dal sottoscritto e dunque di tutte le mie attività e di quelle delle entità giuridiche a me riconducibili ovunque nel mondo” (v. act. 16.2 pag. 3). Egli stesso, parlando di “quasi tutte le risorse finanziarie”, ammette del resto l’esistenza di altre risorse, omettendo tuttavia sia di specificarne l’am- montare sia di indicare quale delle società coinvolte disporrebbe eventualmente di altre risorse. Di fronte ad un quadro finanziario così opaco non basta allegare e documentare la sussistenza di singoli impegni finanziari, ma incombe ai ricor- renti produrre tutta la documentazione necessaria per fare chiarezza sull’esi- stenza di un effettivo pregiudizio ai sensi della giurisprudenza sopraccitata.</w:t>
      </w:r>
    </w:p>
    <w:p>
      <w:r>
        <w:rPr>
          <w:b/>
        </w:rPr>
        <w:t>E. 2.3</w:t>
      </w:r>
    </w:p>
    <w:p>
      <w:r>
        <w:t>Da quanto sopra discende che il ricorso è inammissibile già per la sola man- canza di un pregiudizio immediato e irreparabile giusta l’art. 80e cpv. 2 lett. a AIMP, il che rende superfluo l'esame delle restanti censure.</w:t>
      </w:r>
    </w:p>
    <w:p>
      <w:r>
        <w:rPr>
          <w:b/>
        </w:rPr>
        <w:t>E. 3</w:t>
      </w:r>
    </w:p>
    <w:p>
      <w:r>
        <w:t>Le spese seguono la soccombenza (v. art. 63 cpv. 1 della legge federale sulla procedura amministrativa del 20 dicembre 1968 [PA; RS 172.021] ri- 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complessivi fr. 10'000.--. Essa è coperta dall’anticipo delle spese già versato di fr. 50'000.--. La Cassa del Tribunale restituirà ai ricor- renti il saldo di fr. 40'000.--.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