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RR.2016.318 vom 17. Februar 2017</w:t>
      </w:r>
    </w:p>
    <w:p>
      <w:r>
        <w:t>Bundesstrafgericht, 2017-02-17, FR</w:t>
      </w:r>
    </w:p>
    <w:p>
      <w:r>
        <w:rPr>
          <w:b/>
        </w:rPr>
        <w:t xml:space="preserve">Quelle: </w:t>
      </w:r>
      <w:r>
        <w:t>https://mcp.opencaselaw.ch/entscheid/bstger_RR.2016.318</w:t>
      </w:r>
    </w:p>
    <w:p>
      <w:r>
        <w:t>FR: TPF RR.2016.318 du 17 février 2017</w:t>
      </w:r>
    </w:p>
    <w:p>
      <w:r>
        <w:t>IT: TPF RR.2016.318 del 17 febbraio 2017</w:t>
      </w:r>
    </w:p>
    <w:p>
      <w:pPr>
        <w:pStyle w:val="Heading2"/>
      </w:pPr>
      <w:r>
        <w:t>Regeste</w:t>
      </w:r>
    </w:p>
    <w:p>
      <w:r>
        <w:t>Entraide judiciaire internationale en matière pénale à la France. Remise de moyens de preuve (art. 74 EIMP). Saisie de valeurs (art. 80e al. 2 let. a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w:t>
      </w:r>
    </w:p>
    <w:p>
      <w:r>
        <w:t>- 4 -</w:t>
      </w:r>
    </w:p>
    <w:p>
      <w:r>
        <w:t>mis en relation avec l'art. 37 al. 2 let. a ch. 1 de la loi fédérale sur l'organisation des autorités pénales de la Confédération [LOAP; RS 173.71]).</w:t>
      </w:r>
    </w:p>
    <w:p>
      <w:r>
        <w:rPr>
          <w:b/>
        </w:rPr>
        <w:t>E. 1.4</w:t>
      </w:r>
    </w:p>
    <w:p>
      <w:r>
        <w:t>Est habilité à attaquer une décision rendue en matière d'entraide judiciaire notamment le titulaire du compte bancaire dont la transmission de la documentation a été ordonnée (art. 80h EIMP et 9a OEIMP), qualité que revêt en l'occurrence le recourant.</w:t>
      </w:r>
    </w:p>
    <w:p>
      <w:r>
        <w:rPr>
          <w:b/>
        </w:rPr>
        <w:t>E. 1.5</w:t>
      </w:r>
    </w:p>
    <w:p>
      <w:r>
        <w:t>Déposé le 19 décembre 2016 contre des décisions rendues le 23 novembre précédent, respectivement contre un acte qui ne pouvait pas être attaqué avant que celles-ci ne fussent rendues, le recours l'a été dans le délai de 30 jours de l'art. 80k EIMP.</w:t>
      </w:r>
    </w:p>
    <w:p>
      <w:r>
        <w:rPr>
          <w:b/>
        </w:rPr>
        <w:t>E. 1.6</w:t>
      </w:r>
    </w:p>
    <w:p>
      <w:r>
        <w:t>Compte tenu de ce qui précède, il y a lieu d'entrer en matière.</w:t>
      </w:r>
    </w:p>
    <w:p>
      <w:r>
        <w:rPr>
          <w:b/>
        </w:rPr>
        <w:t>E. 2.1</w:t>
      </w:r>
    </w:p>
    <w:p>
      <w:r>
        <w:t>A l'appui de ses conclusions, le recourant se plaint tout d'abord de la violation de son droit d'être entendu. Il soutient que le MP-GE ne lui a pas laissé un délai suffisant pour exercer celui-ci, s'agissant en particulier du tri des pièces.</w:t>
      </w:r>
    </w:p>
    <w:p>
      <w:r>
        <w:rPr>
          <w:b/>
        </w:rPr>
        <w:t>E. 2.2</w:t>
      </w:r>
    </w:p>
    <w:p>
      <w:r>
        <w:t>La jurisprudence considère que lorsque le titulaire du compte visé est domicilié à l'étranger, c'est à la banque qu'il appartient d'informer son client afin de permettre à celui-ci d'élire domicile en Suisse (art. 80m al. 1 let. b EIMP et 9 OEIMP) et d'exercer en temps utile le droit de recours qui lui est reconnu selon les art. 80h let. b EIMP et 9a let. a OEIMP.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l'art. 80n EIMP. La transmission de pièces remises par une banque ne peut avoir lieu qu'après notification de la décision de clôture à l'établissement bancaire (ATF 130 II 505).</w:t>
      </w:r>
    </w:p>
    <w:p>
      <w:r>
        <w:rPr>
          <w:b/>
        </w:rPr>
        <w:t>E. 2.3</w:t>
      </w:r>
    </w:p>
    <w:p>
      <w:r>
        <w:t>Le recourant a fait élection de domicile en Suisse le 25 novembre 2016; au vu de ce qui précède, le MP-GE n'était pas tenu de l'informer avant cette date sur l'existence de la procédure d'entraide. Cela étant, dite autorité a levé le 3 novembre 2016 l'interdiction de communiquer faite aux établissements bancaires concernés, qui assortissait l'ordonnance de séquestre du 18 août précédent. Aussi, et dès lors que les décisions attaquées ont été rendues le 23 novembre 2016, un laps de temps suffisant pour permettre au recourant d'exercer son droit d'être entendu s'est écoulé entre le moment où la banque pouvait le renseigner sur ladite procédure et cette dernière date. Le premier grief soulevé est donc mal fondé.</w:t>
      </w:r>
    </w:p>
    <w:p>
      <w:r>
        <w:t>- 5 -</w:t>
      </w:r>
    </w:p>
    <w:p>
      <w:r>
        <w:rPr>
          <w:b/>
        </w:rPr>
        <w:t>E. 3.1</w:t>
      </w:r>
    </w:p>
    <w:p>
      <w:r>
        <w:t>Le recourant dénonce ensuite une violation du principe de la proportionnalité. Il fait valoir que les comptes bancaires dont la transmission à l'Etat requérant est litigieuse n'ont aucun lien avec la procédure pénale ouverte en France.</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w:t>
      </w:r>
    </w:p>
    <w:p>
      <w:r>
        <w:t>- 6 -</w:t>
      </w:r>
    </w:p>
    <w:p>
      <w:r>
        <w:t>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op. cit., p. 748 ss).</w:t>
      </w:r>
    </w:p>
    <w:p>
      <w:r>
        <w:rPr>
          <w:b/>
        </w:rPr>
        <w:t>E. 3.3</w:t>
      </w:r>
    </w:p>
    <w:p>
      <w:r>
        <w:t>L'autorité suisse saisie d'une requête n'a pas à se prononcer sur la réalité des faits. Elle ne s'écarte de ceux décrits par l'autorité requérante qu'en cas d'erreurs, lacunes ou contradictions évidentes et immédiatement établies (ATF 107 Ib 264 consid. 3a; arrêt du Tribunal fédéral 1A.270/2006 du 13 mars 2007, consid. 2.1; arrêts du Tribunal pénal fédéral RR. 2015.182 du 11 novembre 2015, consid. 2.1; RR.2008.69 du 14 août 2008, consid. 3).</w:t>
      </w:r>
    </w:p>
    <w:p>
      <w:r>
        <w:rPr>
          <w:b/>
        </w:rPr>
        <w:t>E. 3.4</w:t>
      </w:r>
    </w:p>
    <w:p>
      <w:r>
        <w:t>Le recourant n'avance aucun élément concret et objectif propre à établir immédiatement que l'état de fait décrit par l'autorité requérante serait entaché de vices au sens de la jurisprudence qui vient d'être citée. Il faut donc s'en tenir aux informations figurant dans la demande d'entraide, selon lesquelles l'intéressé est suspecté d'avoir commis une escroquerie. Dès lors qu'aucune pièce figurant au dossier ne permet d'exclure l'existence de liens entre cette infraction présumée et les comptes bancaires litigieux, la condition de l'utilité potentielle est manifestement réalisée dans le cas d'espèce. Au surplus, le recourant se borne en substance à affirmer qu'il a été instrumentalisé par une autre personne sur laquelle enquêtent les autorités françaises; ce faisant, il fait état d'éléments à décharge, qui n'ont pas à être examinés par le juge de l'entraide. Le second grief soulevé doit ainsi être écarté.</w:t>
      </w:r>
    </w:p>
    <w:p>
      <w:r>
        <w:rPr>
          <w:b/>
        </w:rPr>
        <w:t>E. 4</w:t>
      </w:r>
    </w:p>
    <w:p>
      <w:r>
        <w:t>Compte tenu de ce qui précède, et dès lors que les deux griefs qui viennent d'être examinés ont été formés à l'appui aussi bien de la conclusion tendant au rejet de la demande d'entraide que de celle visant la levée du séquestre ordonné par le MPC, le recours est entièrement mal fondé.</w:t>
      </w:r>
    </w:p>
    <w:p>
      <w:r>
        <w:rPr>
          <w:b/>
        </w:rPr>
        <w:t>E. 5</w:t>
      </w:r>
    </w:p>
    <w:p>
      <w:r>
        <w:t>Les frais de procédure, comprenant l'émolument d'arrêté, les émoluments de chancellerie et les débours, sont mis à la charge des parties qui succombent (art. 63 al. 1 PA, applicable par renvoi de l'art. 39 al. 2 let. b</w:t>
      </w:r>
    </w:p>
    <w:p>
      <w:r>
        <w:t>- 7 -</w:t>
      </w:r>
    </w:p>
    <w:p>
      <w:r>
        <w:t>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