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RR.2016.313 vom 24. Januar 2017</w:t>
      </w:r>
    </w:p>
    <w:p>
      <w:r>
        <w:t>Bundesstrafgericht, 2017-01-24, FR</w:t>
      </w:r>
    </w:p>
    <w:p>
      <w:r>
        <w:rPr>
          <w:b/>
        </w:rPr>
        <w:t xml:space="preserve">Quelle: </w:t>
      </w:r>
      <w:r>
        <w:t>https://mcp.opencaselaw.ch/entscheid/bstger_RR.2016.313</w:t>
      </w:r>
    </w:p>
    <w:p>
      <w:r>
        <w:t>FR: TPF RR.2016.313 du 24 janvier 2017</w:t>
      </w:r>
    </w:p>
    <w:p>
      <w:r>
        <w:t>IT: TPF RR.2016.313 del 24 gennaio 2017</w:t>
      </w:r>
    </w:p>
    <w:p>
      <w:pPr>
        <w:pStyle w:val="Heading2"/>
      </w:pPr>
      <w:r>
        <w:t>Regeste</w:t>
      </w:r>
    </w:p>
    <w:p>
      <w:r>
        <w:t>Entraide judiciaire internationale en matière pénale à l'Espagne. Extension du principe de spécialité (art. 67 al. 2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 ciel de l’Union européenne L 239 du 22 septembre 2000, p. 19 à 62) s’appli- 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 tionale en matière pénale du 20 mars 1981 (EIMP; RS 351.1) et son ordon- nance d’exécution du 24 février 1982 (OEIMP; RS 351.11). Le droit interne</w:t>
      </w:r>
    </w:p>
    <w:p>
      <w:r>
        <w:t>- 4 -</w:t>
      </w:r>
    </w:p>
    <w:p>
      <w:r>
        <w:t>reste toutefois applicable aux questions non réglées, explicitement ou impli- citement, par le traité et lorsqu’il est plus favorable à l’entraide (ATF 142 IV 250 consid. 3; 140 IV 123 consid. 2 ; 137 IV 33 consid. 2.2.2; 136 IV 82 consid. 3.1; arrêt du Tribunal pénal fédéral RR.2010.9 du 15 avril 2010, con- sid. 1.3), ce qui est valable aussi dans le rapport entre elles des normes in- ternationales (cf. art. 48 ch. 2 CAAS et 39 ch. 2 CBl). L’application de la norme la plus favorable doit avoir lieu dans le respect des droits fondamen- taux (ATF 135 IV 212 consid. 2.3; 123 II 595 consid. 7c).</w:t>
      </w:r>
    </w:p>
    <w:p>
      <w:r>
        <w:rPr>
          <w:b/>
        </w:rPr>
        <w:t>E. 1.2</w:t>
      </w:r>
    </w:p>
    <w:p>
      <w:r>
        <w:t>Aux termes de l'art. 25 al. 1 EIMP, les décisions rendues en première ins- tance par les autorités cantonales et fédérales peuvent, sauf exceptions n'entrant pas en considération ici, directement faire l'objet d'un recours de- vant la Cour des plaintes du Tribunal pénal fédéral. L’acte querellé entre dans cette catégorie, de sorte que la Cour de céans est compétente pour connaître du présent litige.</w:t>
      </w:r>
    </w:p>
    <w:p>
      <w:r>
        <w:rPr>
          <w:b/>
        </w:rPr>
        <w:t>E. 1.3</w:t>
      </w:r>
    </w:p>
    <w:p>
      <w:r>
        <w:t>La qualité pour agir contre une mesure d'entraide judiciaire est reconnue à celui qui est personnellement et directement touché par cette mesure. La personne visée par la procédure pénale étrangère peut recourir aux mêmes conditions (art. 21 al. 3 EIMP). Aux termes de l’art. 9a let. a OEIMP, est notamment réputé personnellement et directement touché au sens des dis- positions légales précitées, en cas d’informations sur un compte, le titulaire du compte dont les documents font l’objet de la décision. Le recourant, qui en l'occurrence appartient à cette dernière catégorie de personnes (cf. let. B et F.), a qualité pour recourir.</w:t>
      </w:r>
    </w:p>
    <w:p>
      <w:r>
        <w:rPr>
          <w:b/>
        </w:rPr>
        <w:t>E. 1.4</w:t>
      </w:r>
    </w:p>
    <w:p>
      <w:r>
        <w:t>Dès lors que l’acte entrepris autorise l'autorité requérante à utiliser, pour ré- primer des faits constitutifs en droit suisse d’escroquerie fiscale, des docu- ments déjà transmis, il doit être assimilé à une décision de clôture au sens de l'art. 80d EIMP. Partant, le délai de recours est de 30 jours dès la com- munication écrite de cet acte (art. 80k EIMP) ; il a été respecté en l’espèce.</w:t>
      </w:r>
    </w:p>
    <w:p>
      <w:r>
        <w:rPr>
          <w:b/>
        </w:rPr>
        <w:t>E. 1.5</w:t>
      </w:r>
    </w:p>
    <w:p>
      <w:r>
        <w:t>Compte tenu de ce qui précède, il y a lieu d'entrer en matière.</w:t>
      </w:r>
    </w:p>
    <w:p>
      <w:r>
        <w:rPr>
          <w:b/>
        </w:rPr>
        <w:t>E. 2.1</w:t>
      </w:r>
    </w:p>
    <w:p>
      <w:r>
        <w:t>Le litige porte sur l’extension du principe de la spécialité, plus précisément sur l’utilisation par l’Etat requérant, pour poursuivre des infractions de nature fiscale, d’une documentation bancaire qui lui a été préalablement transmise par voie d’entraide aux fins de répression d’autres infractions.</w:t>
      </w:r>
    </w:p>
    <w:p>
      <w:r>
        <w:rPr>
          <w:b/>
        </w:rPr>
        <w:t>E. 2.2</w:t>
      </w:r>
    </w:p>
    <w:p>
      <w:r>
        <w:t>Aux termes de l’art. 67 EIMP, les renseignements et les documents obtenus par voie d'entraide ne peuvent, dans l'Etat requérant, ni être utilisés aux fins</w:t>
      </w:r>
    </w:p>
    <w:p>
      <w:r>
        <w:t>- 5 -</w:t>
      </w:r>
    </w:p>
    <w:p>
      <w:r>
        <w:t>d'investigations ni être produits comme moyens de preuve dans une procé- dure pénale visant une infraction pour laquelle l'entraide est exclue.</w:t>
      </w:r>
    </w:p>
    <w:p>
      <w:r>
        <w:rPr>
          <w:b/>
        </w:rPr>
        <w:t>E. 2.3</w:t>
      </w:r>
    </w:p>
    <w:p>
      <w:r>
        <w:t>L’art. 3 EIMP dispose que la demande d’entraide est irrecevable si la procé- dure vise un acte qui paraît tendre à diminuer des recettes fiscales ou con- trevient à des mesures de politique monétaire, commerciale ou économique (al. 3). Toutefois, il peut être donné suite, notamment, à une demande d'en- traide au sens de toutes les parties de cette loi si la procédure vise une escroquerie fiscale qualifiée au sens de l'art. 14, al. 4, de la loi fédérale du 22 mars 1974 sur le droit pénal administratif (al. 3 let. b).</w:t>
      </w:r>
    </w:p>
    <w:p>
      <w:r>
        <w:rPr>
          <w:b/>
        </w:rPr>
        <w:t>E. 3.1</w:t>
      </w:r>
    </w:p>
    <w:p>
      <w:r>
        <w:t>Le recourant se plaint en substance d’une violation des art. 28 al. 3 EIMP et 10 al. 2 OEIMP, ainsi que du principe de la spécialité. Selon lui, les indica- tions fournies dans la demande d’entraide du 16 avril 2015, complétée le</w:t>
      </w:r>
    </w:p>
    <w:p>
      <w:r>
        <w:rPr>
          <w:b/>
        </w:rPr>
        <w:t>E. 3.2.1</w:t>
      </w:r>
    </w:p>
    <w:p>
      <w:r>
        <w:t>Selon l'art. 28 al. 2 let. c et 28 al. 3 let. a EIMP, un exposé sommaire des faits ainsi que leur qualification juridique doivent être fournis par l'Etat requé- rant à l'appui de sa demande d'entraide. Aux termes de l'art. 10 al. 2 OEIMP, doivent en tout cas figurer le lieu, la date et le mode de commission de l'infraction. La jurisprudence considère qu’on ne saurait toutefois exiger de ce dernier un exposé complet et exempt de toute lacune, car la procédure d’entraide a précisément pour but d’apporter aux autorités de l’Etat requérant des renseignements au sujet des points demeurés obscurs (ATF 117 Ib 64 consid. 5c; arrêt du Tribunal pénal fédéral RR.2008.317-318 du 17 juin 2009, consid. 3.1). Les indications fournies à ce titre doivent simplement suffire pour vérifier que la demande n’est pas d’emblée inadmissible (ATF 116 Ib 96 consid. 3a; arrêt du Tribunal pénal fédéral RR.2007.122 du 29 octobre 2007, consid. 4), soit que l’acte pour lequel l’entraide est demandée est pu- nissable selon le droit des parties requérante et requise, qu’il ne constitue pas un délit politique ou fiscal, et que le principe de la proportionnalité est respecté (ATF 118 Ib 111 consid. 5c; arrêt du Tribunal pénal fédéral RR.2008.16 du 23 juillet 2008, consid. 2.1).</w:t>
      </w:r>
    </w:p>
    <w:p>
      <w:r>
        <w:t>- 6 -</w:t>
      </w:r>
    </w:p>
    <w:p>
      <w:r>
        <w:rPr>
          <w:b/>
        </w:rPr>
        <w:t>E. 3.2.2</w:t>
      </w:r>
    </w:p>
    <w:p>
      <w:r>
        <w:t>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 blies (ATF 126 II 495 consid. 5e/aa p. 501; 118 Ib 111 consid. 5b; arrêt du Tribunal pénal fédéral RR.2014.75-76 du 5 septembre 2014, consid. 5.2). En outre, l’Etat requérant n’a pas à apporter, à l’appui de la demande, la preuve des faits qu’il poursuit (ZIMMERMANN, La coopération judiciaire inter- nationale en matière pénale, 4e éd. 2014, n° 299).</w:t>
      </w:r>
    </w:p>
    <w:p>
      <w:r>
        <w:rPr>
          <w:b/>
        </w:rPr>
        <w:t>E. 3.2.3</w:t>
      </w:r>
    </w:p>
    <w:p>
      <w:r>
        <w:t>Selon le principe de la proportionnalité, la coopération ne peut être refusée que si les actes requis sont manifestement sans rapport avec l’infraction poursuivie et impropres à faire progresser l’enquête, de sorte que la de- mande apparaît comme le prétexte à une recherche indéterminée de moyens de preuve (ATF 122 II 367 consid. 2c; arrêt du Tribunal pénal fédéral RR.2009.33-36 du 25 juin 2009, consid. 3.1).</w:t>
      </w:r>
    </w:p>
    <w:p>
      <w:r>
        <w:rPr>
          <w:b/>
        </w:rPr>
        <w:t>E. 3.3</w:t>
      </w:r>
    </w:p>
    <w:p>
      <w:r>
        <w:t>Les faits investigués en Espagne sont liés à la mise en place présumée d’un mécanisme délictueux complexe, englobant de très nombreuses transac- tions passées pendant plusieurs années entre une multitude de personnes physiques et morales sises en Espagne et à l’étranger. Dès lors, on ne sau- rait reprocher aux autorités espagnoles de ne pas avoir fourni des indications précises quant au moment où se seraient déroulés les faits déterminants s’agissant des infractions pour lesquelles l’extension du principe de la spé- cialité a été requise. Aussi, la référence à la période comprise entre 1999 et 2009, faite dans la demande du 16 avril 2015, complétée le 5 octobre suivant (act. 8.1, p. 5), est-elle en l’espèce suffisante au regard des exigences men- tionnés plus haut.</w:t>
      </w:r>
    </w:p>
    <w:p>
      <w:r>
        <w:t>Les explications fournies par le recourant quant à l’origine des fonds dépo- sés sur la relation bancaire objet de l’acte attaqué reposent essentiellement sur des déclarations faites par l’intéressé, respectivement par son épouse (ces dernières ressortant d’un affidavit produit en annexe au mémoire de recours [act. 1.2]). Les éléments avancés sur ce point ne sont donc pas propres à démontrer immédiatement que les informations transmises par l’autorité requérante seraient entachées d’erreurs, lacunes ou contradictions évidentes. Le recourant n’a ainsi pas dûment établi que les fonds en cause ne présentent aucun lien avec une escroquerie fiscale, respectivement qu’il n’a pas pu commettre une telle infraction. Partant, il n’y a pas lieu de consi- dérer que l’utilisation autorisée par l’OFJ de la documentation bancaire liti- gieuse n’est manifestement pas propre à faire progresser l’enquête en cours</w:t>
      </w:r>
    </w:p>
    <w:p>
      <w:r>
        <w:t>- 7 -</w:t>
      </w:r>
    </w:p>
    <w:p>
      <w:r>
        <w:t>en Espagne. Aussi, l’argumentation tirée du caractère erroné des faits figu- rant dans la demande d’entraide, ainsi que celle relative à la violation du principe de la proportionnalité, est-elle mal fondée.</w:t>
      </w:r>
    </w:p>
    <w:p>
      <w:r>
        <w:t>4. Compte tenu de ce qui précède, le recours est mal fondé.</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 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prennent la forme d’un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