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RR.2016.305 vom 15. Februar 2017</w:t>
      </w:r>
    </w:p>
    <w:p>
      <w:r>
        <w:t>Bundesstrafgericht, 2017-02-15, FR</w:t>
      </w:r>
    </w:p>
    <w:p>
      <w:r>
        <w:rPr>
          <w:b/>
        </w:rPr>
        <w:t xml:space="preserve">Quelle: </w:t>
      </w:r>
      <w:r>
        <w:t>https://mcp.opencaselaw.ch/entscheid/bstger_RR.2016.305</w:t>
      </w:r>
    </w:p>
    <w:p>
      <w:r>
        <w:t>FR: TPF RR.2016.305 du 15 février 2017</w:t>
      </w:r>
    </w:p>
    <w:p>
      <w:r>
        <w:t>IT: TPF RR.2016.305 del 15 febbraio 2017</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212 consid. 2.3; 123 II 595 consid. 7c).</w:t>
      </w:r>
    </w:p>
    <w:p>
      <w:r>
        <w:rPr>
          <w:b/>
        </w:rPr>
        <w:t>E. 1.2</w:t>
      </w:r>
    </w:p>
    <w:p>
      <w:r>
        <w:t>Aux termes de l'art. 80e al. 1 EIMP, mis en relation avec l’art. 37 al. 2 let. a ch. 1 de la loi fédérale sur l’organisation des autorités pénales de la Confédération (LOAP; RS 173.71), peuvent faire l'objet d'un recours devant l'autorité de céans la décision de l'autorité d'exécution relative à la clôture de la procédure d'entraide et, conjointement, les décisions incidentes.</w:t>
      </w:r>
    </w:p>
    <w:p>
      <w:r>
        <w:rPr>
          <w:b/>
        </w:rPr>
        <w:t>E. 1.3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du 20 décembre 1968 [PA; RS 172.021], l'institution de la jonction des causes est néanmoins admise en pratique (cf. arrêts du Tribunal pénal fédéral RR.2008.190 du 26 février 2009, consid. 1; RR.2008.216 + RR.2008.225-230 du 20 novembre 2008, consid. 1.2; MOSER/BEUSCH/KNEUBÜHLER, Prozessieren vor dem Bundesverwaltungsgericht, 2e éd. 2013, § 3.17, p. 144 s.).</w:t>
      </w:r>
    </w:p>
    <w:p>
      <w:r>
        <w:rPr>
          <w:b/>
        </w:rPr>
        <w:t>E. 1.4</w:t>
      </w:r>
    </w:p>
    <w:p>
      <w:r>
        <w:t>Les causes RR.2016.305-306 et RR.2016.307 concernent le même complexe de fait. Les considérants et le dispositif des actes attaqués, ainsi que les griefs soulevés par les recourants et les conclusions prises par ceux- ci, sont en substance identiques. De plus, les intéressés sont représentés par le même avocat. Dans ces conditions, il y a lieu de joindre les deux</w:t>
      </w:r>
    </w:p>
    <w:p>
      <w:r>
        <w:t>- 4 -</w:t>
      </w:r>
    </w:p>
    <w:p>
      <w:r>
        <w:t>causes.</w:t>
      </w:r>
    </w:p>
    <w:p>
      <w:r>
        <w:rPr>
          <w:b/>
        </w:rPr>
        <w:t>E. 1.5</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w:t>
      </w:r>
    </w:p>
    <w:p>
      <w:r>
        <w:t>Les recourants sont titulaires des comptes dont la transmission de la documentation a été ordonnée dans les actes litigieux, de sorte qu'ils ont qualité pour attaquer ceux-ci.</w:t>
      </w:r>
    </w:p>
    <w:p>
      <w:r>
        <w:rPr>
          <w:b/>
        </w:rPr>
        <w:t>E. 1.6</w:t>
      </w:r>
    </w:p>
    <w:p>
      <w:r>
        <w:t>Formés le 2 décembre 2016 contre des décisions notifiées le 2 novembre précédent, les recours l'ont été dans le délai de 30 jours institué par l'art. 80k EIMP.</w:t>
      </w:r>
    </w:p>
    <w:p>
      <w:r>
        <w:rPr>
          <w:b/>
        </w:rPr>
        <w:t>E. 1.7</w:t>
      </w:r>
    </w:p>
    <w:p>
      <w:r>
        <w:t>Compte tenu de ce qui précède, il y a lieu d'entrer en matière.</w:t>
      </w:r>
    </w:p>
    <w:p>
      <w:r>
        <w:rPr>
          <w:b/>
        </w:rPr>
        <w:t>E. 2</w:t>
      </w:r>
    </w:p>
    <w:p>
      <w:r>
        <w:t>Les recourants dénoncent en substance une violation des art. 28 et 80b EIMP, ainsi que des principes de la double incrimination et de la proportionnalité. La copie de la demande d'entraide qui leur a été remise aurait été à tel point caviardée par l'autorité d'exécution qu'ils ne disposeraient pas d'informations suffisantes pour exercer efficacement leurs droits dans la présente procédure, respectivement que les exigences posées par la seconde disposition légale précitée ne seraient en l'occurrence pas remplies. En outre, l'existence de faits constitutifs en droit suisse d'infractions n'aurait pas été démontrée et les documents dont la transmission a été ordonnée ne présenteraient aucun lien avec la procédure pénale ouverte en Roumanie.</w:t>
      </w:r>
    </w:p>
    <w:p>
      <w:r>
        <w:rPr>
          <w:b/>
        </w:rPr>
        <w:t>E. 3.1</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oeuvre par l’art. 80b EIMP et par les art. 26 et 27 PA (par renvoi de l’art. 12 al. 1 EIMP). Ces dispositions permettent à l’ayant droit, à moins que certains intérêts ne s’y opposent (art. 80b al. 2 EIMP), de consulter le dossier de la procédure, la demande d’entraide et les pièces annexées. La consultation ne s’étend en</w:t>
      </w:r>
    </w:p>
    <w:p>
      <w:r>
        <w:t>- 5 -</w:t>
      </w:r>
    </w:p>
    <w:p>
      <w:r>
        <w:t>tout cas qu’aux pièces pertinentes (art. 26 al. 1 let. a, b et c PA; HATF 119 Ia 139H consid. 2d; 118 Ib 438 consid. 3) et, selon l’art. 80b al. 1 EIMP a contrario, qu’aux pièces fournies par l’autorité requérante.</w:t>
      </w:r>
    </w:p>
    <w:p>
      <w:r>
        <w:rPr>
          <w:b/>
        </w:rPr>
        <w:t>E. 3.2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Cela étant, 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w:t>
      </w:r>
    </w:p>
    <w:p>
      <w:r>
        <w:rPr>
          <w:b/>
        </w:rPr>
        <w:t>E. 3.3</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aussi. ZIMMERMANN, La coopération judiciaire internationale en matière pénale, 4e éd. 2014 n° 581).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w:t>
      </w:r>
    </w:p>
    <w:p>
      <w:r>
        <w:t>- 6 -</w:t>
      </w:r>
    </w:p>
    <w:p>
      <w:r>
        <w:t>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Pour répondre à cette question, le juge de l'entraide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arrêt du Tribunal fédéral 1A.270/2006 du 13 mars 2007, consid. 2.1; arrêts du Tribunal pénal fédéral RR. 2015.182 du 11 novembre 2015, consid. 2.1; RR.2008.69 du 14 août 2008, consid. 3).</w:t>
      </w:r>
    </w:p>
    <w:p>
      <w:r>
        <w:rPr>
          <w:b/>
        </w:rPr>
        <w:t>E. 3.4</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w:t>
      </w:r>
    </w:p>
    <w:p>
      <w:r>
        <w:t>- 7 -</w:t>
      </w:r>
    </w:p>
    <w:p>
      <w:r>
        <w:t>relativement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op. cit., p. 748 ss).</w:t>
      </w:r>
    </w:p>
    <w:p>
      <w:r>
        <w:rPr>
          <w:b/>
        </w:rPr>
        <w:t>E. 3.5</w:t>
      </w:r>
    </w:p>
    <w:p>
      <w:r>
        <w:t>La demande d'entraide du 26 octobre 2015, telle que remise aux recourants, indique notamment qu'entre 2010 et 2012, D. a été l'assistant personnel de C., laquelle était alors ministre (…). En 2010 et 2011, la prénommée aurait reçu des sommes importantes en échange de la promesse que certaines entités recevraient, dans délai déterminé, un financement étatique. Il ressort aussi de ce document que, selon l'autorité roumaine pour la prévention et la répression du blanchiment d'argent, la recourante, proche de C., a procédé entre 2007 et 2012 à de nombreuses transactions, effectuées avec de l'argent liquide et portant sur des montants qui dépassent largement ses revenus. Certaines d'entre elles seraient liées aux sommes précitées reçues par l'ancienne ministre.</w:t>
      </w:r>
    </w:p>
    <w:p>
      <w:r>
        <w:rPr>
          <w:b/>
        </w:rPr>
        <w:t>E. 3.6</w:t>
      </w:r>
    </w:p>
    <w:p>
      <w:r>
        <w:t>Ainsi, la version de la demande d'entraide remise aux recourants décrit clairement le mécanisme litigieux qui aurait été mis en place, respectivement le rôle qu'auraient joué ceux-ci, ainsi que C. et D. Elle contient des indications répondant aux réquisits posés aux art. 14 CEEJ et 28 EIMP, étant précisé qu'au moment du dépôt de ladite demande, six mois à peine s'étaient écoulés depuis l'ouverture de la procédure pénale en Roumanie et que dès lors, compte tenu de la nature des infractions en cause, on ne saurait exiger</w:t>
      </w:r>
    </w:p>
    <w:p>
      <w:r>
        <w:t>- 8 -</w:t>
      </w:r>
    </w:p>
    <w:p>
      <w:r>
        <w:t>de l'Etat requérant la communication d'indications précises quant aux lieux et dates pertinents. Les éléments portés à la connaissance des recourants leur permettaient donc de comprendre les faits essentiels sur lesquels repose la demande des autorités roumaines et de s'y opposer valablement, nonobstant le caviardage effectué par le MPC – opération qui n'est pas critiquable quant à son principe (ZIMMERMANN, op cit., n° 479). Le grief tiré d'une violation des art. 80b et 28 EIMP est donc mal fondé.</w:t>
      </w:r>
    </w:p>
    <w:p>
      <w:r>
        <w:t>En outre, les recourants n'avancent aucun élément propre à établir immédiatement que la demande d'entraide serait entachée d'erreurs, lacunes ou contradictions évidentes. Ils ne démontrent en particulier pas qu'il n'existe, comme ils l'affirment, aucun lien entre des opérations effectuées sur les comptes bancaires objet de la décision litigieuse et les faits reprochés à C. et D.; à cet égard, les intéressés reprochent en vain à l'autorité requérante de ne pas avoir clairement identifié des transactions passées entre eux- mêmes et les deux prénommés, dès lors que le modus operandi décrit – le retrait, respectivement le versement, de valeurs en espèce, qu'aurait opérés la recourante – tend précisément à compliquer une telle démarche. Aussi, la transmission de la documentation bancaire ordonnée par le MPC n'est-elle pas manifestement impropre à faire progresser l'enquête roumaine. Partant, le grief de violation du principe de proportionnalité est mal fondé. Finalement, la perception par un ministre de sommes d'argent en échange de la promesse d'octroyer à une personne un financement public constitue à première vue un avantage indu, pour l’exécution ou l’omission d’un acte en relation avec l'activité officielle de l'intéressé, contraire à ses devoirs ou dépendant de son pouvoir d’appréciation. Partant, le comportement qu'a adopté C. selon l'autorité requérante correspond prima facie aux éléments constitutifs de la corruption passive, au sens de l'art. 322quater CP. La transmission de documentation bancaire à la Roumanie ordonnée par le MPC n'est donc pas non plus contraire au principe de double incrimination.</w:t>
      </w:r>
    </w:p>
    <w:p>
      <w:r>
        <w:rPr>
          <w:b/>
        </w:rPr>
        <w:t>E. 4</w:t>
      </w:r>
    </w:p>
    <w:p>
      <w:r>
        <w:t>Compte tenu de ce qui précède, les recours sont mal fondés.</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se limitent compte tenu des circonstances, notamment de la jonction des causes, à un émolument fixé à CHF 4'000.-- (art. 73 al. 2 LOAP</w:t>
      </w:r>
    </w:p>
    <w:p>
      <w:r>
        <w:t>- 9 -</w:t>
      </w:r>
    </w:p>
    <w:p>
      <w:r>
        <w:t>et art. 8 al. 3 du règlement du Tribunal pénal fédéral sur les frais, émoluments, dépens et indemnités de la procédure pénale fédérale du 31 août 2010 [RFPPF; RS 173.713.162] et art. 63 al. 5 PA), couvert par les avances de frais déjà versées. Le solde de ces dernières, soit CHF 2'000.-, est restitué aux recourants.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