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RR.2016.299 vom 24. März 2017</w:t>
      </w:r>
    </w:p>
    <w:p>
      <w:r>
        <w:t>Bundesstrafgericht, 2017-03-24, FR</w:t>
      </w:r>
    </w:p>
    <w:p>
      <w:r>
        <w:rPr>
          <w:b/>
        </w:rPr>
        <w:t xml:space="preserve">Quelle: </w:t>
      </w:r>
      <w:r>
        <w:t>https://mcp.opencaselaw.ch/entscheid/bstger_RR.2016.299</w:t>
      </w:r>
    </w:p>
    <w:p>
      <w:r>
        <w:t>FR: TPF RR.2016.299 du 24 mars 2017</w:t>
      </w:r>
    </w:p>
    <w:p>
      <w:r>
        <w:t>IT: TPF RR.2016.299 del 24 marzo 2017</w:t>
      </w:r>
    </w:p>
    <w:p>
      <w:pPr>
        <w:pStyle w:val="Heading2"/>
      </w:pPr>
      <w:r>
        <w:t>Regeste</w:t>
      </w:r>
    </w:p>
    <w:p>
      <w:r>
        <w:t>Entraide judiciaire internationale en matière pénale à la République tchèque. Remise de moyens de preuve (art. 74 EIMP).</w:t>
      </w:r>
    </w:p>
    <w:p>
      <w:pPr>
        <w:pStyle w:val="Heading2"/>
      </w:pPr>
      <w:r>
        <w:t>Erwägungen</w:t>
      </w:r>
    </w:p>
    <w:p>
      <w:r>
        <w:rPr>
          <w:b/>
        </w:rPr>
        <w:t>E. 1.1</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de la loi fédérale internationale en matière pénale [EIMP; RS 351.1], mis en relation avec l'art. 37 al. 2 lit. a ch. 1 de la loi fédérale sur l'organisation des autorités pénales de la Confédération [LOAP; RS 173.71]).</w:t>
      </w:r>
    </w:p>
    <w:p>
      <w:r>
        <w:rPr>
          <w:b/>
        </w:rPr>
        <w:t>E. 1.2</w:t>
      </w:r>
    </w:p>
    <w:p>
      <w:r>
        <w:t>L'entraide judiciaire entre la République tchèque et la Confédération suisse est régie par la Convention européenne d'entraide judiciaire en matière pénale et ses protocoles additionnels (CEEJ; RS 0.351.1 et suivants). Les art. 48 ss de la Convention d'application de l'Accord Schengen du 14 juin 1985 (CAAS; n° CELEX 42000A0922[02]; Journal officiel de l'Union européenne L 239 du 22 septembre 2000, p. 19 à 62; publication de la Chancellerie fédérale, « Entraide et extradition ») trouvent également application en l'espèce. Peut également s'appliquer, en l'occurrence et dans la mesure où elle est directement applicable, la Convention européenne</w:t>
      </w:r>
    </w:p>
    <w:p>
      <w:r>
        <w:t>- 5 -</w:t>
      </w:r>
    </w:p>
    <w:p>
      <w:r>
        <w:t>relative au blanchiment, au dépistage, à la saisie et à la confiscation des produits du crime (CBl; RS 0.311.53). Les dispositions de ces traités l'emportent sur le droit autonome qui régit la matière, soit l'EIMP et son ordonnance d'exécution (OEIMP; RS 351.11). Le droit interne reste toutefois applicable aux questions non réglées, explicitement ou implicitement, par le traité et lorsqu'il est plus favorable à l'entraide (ATF 142 IV 250 consid. 3;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1.3</w:t>
      </w:r>
    </w:p>
    <w:p>
      <w:r>
        <w:t>Aux termes de l'art. 80h lit.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Selon l'art. 9a lit. a OEIMP, est notamment réputé personnellement et directement touché au sens de l'art. 21 al. 3 et 80h EIMP, en cas d'informations sur un compte, le titulaire du compte et en cas de perquisition, le propriétaire ou le locataire (art. 9a lit. b OEIMP). Le recourant ayant fait l’objet de la perquisition du safe dans lequel a été trouvé le classeur à transmettre est ainsi légitimé à recourir.</w:t>
      </w:r>
    </w:p>
    <w:p>
      <w:r>
        <w:rPr>
          <w:b/>
        </w:rPr>
        <w:t>E. 1.4</w:t>
      </w:r>
    </w:p>
    <w:p>
      <w:r>
        <w:t>Les autres conditions de recevabilité étant réalisées, il y a lieu d'entrer en matière.</w:t>
      </w:r>
    </w:p>
    <w:p>
      <w:r>
        <w:rPr>
          <w:b/>
        </w:rPr>
        <w:t>E. 2</w:t>
      </w:r>
    </w:p>
    <w:p>
      <w:r>
        <w:t>février 2010, consid. 4.1; ZIMMERMANN, La coopération judiciaire internationale en matière pénale, 4e éd., Berne 2014, n° 723 s.).</w:t>
      </w:r>
    </w:p>
    <w:p>
      <w:r>
        <w:rPr>
          <w:b/>
        </w:rPr>
        <w:t>E. 2.1</w:t>
      </w:r>
    </w:p>
    <w:p>
      <w:r>
        <w:t>La proportionnalité en matière d'entraide judiciaire est régie par le principe de l'utilité potentielle.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et donc contraire au principe de la proportionnalité. Ce principe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w:t>
      </w:r>
    </w:p>
    <w:p>
      <w:r>
        <w:t>- 7 -</w:t>
      </w:r>
    </w:p>
    <w:p>
      <w:r>
        <w:t>d'éclairer dans tous ses aspects les rouages du mécanisme délictueux poursuivis dans l'Etat requérant (arrêts du Tribunal pénal fédéral RR.2010.173 du 13 octobre 2010, consid. 4.2.4/a et RR.2009.320 du</w:t>
      </w:r>
    </w:p>
    <w:p>
      <w:r>
        <w:rPr>
          <w:b/>
        </w:rPr>
        <w:t>E. 2.2</w:t>
      </w:r>
    </w:p>
    <w:p>
      <w:r>
        <w:t>En l’espèce, les documents à transmettre sont rédigés pour leur majorité en tchèque; certains sont en anglais, d’autres en français ou en allemand. Une grande partie d’entre eux consistent en différents projets et modèles, certains comportant des annotations manuscrites, mais dans lesquels l’indication des éléments essentiels (parties, montants, etc.) est laissée vierge de toute indication. Il y a également des documents sociaux (procès- verbaux de réunion) ou comptables ainsi que différents contrats, des articles de presse et quelques pièces bancaires. Les documents les plus anciens datent de 1997, les plus récents de 2005. Ceux compilés se réfèrent pour la plupart à des personnes et sociétés impliquées dans l’enquête pénale ouverte en République tchèque (la société I., le groupe J., la société B., C., A., E. etc.). Ces éléments plaident incontestablement pour que le contenu de ce classeur soit transmis in extenso à l’autorité requérante. En effet, force est d’admettre que les documents concernent la société I., société fortement impliquée dans les schémas d’infractions investiguées. Les représentants de l’Etat requérant ont d’ailleurs insisté sur l’importance de pouvoir obtenir la documentation y relative (notamment les documents bancaires, les documents de constitution de la société, ainsi que la correspondance, notamment entre A. et C.; pièces MPC, onglet 5, notes au dossier des 28 avril 2009 p. 2, 30 mars 2012 p. 3 et 27 février 2013 p. 1). Par ailleurs, ils visent les personnes physiques et morales mises en cause dans l’enquête en République tchèque. Certes, le recourant soutient que cette dernière est d’ores et déjà en possession de l’intégralité du dossier suisse, mais précise lui-même qu’il ne peut le prouver (act. 1 point 32). Ces pures spéculations rendent le grief inopérant. Par ailleurs, on cherche en vain des explications de la part du recourant justifiant le refus de transmission pour chacun des documents concernés. De jurisprudence constante en effet c’est à lui qu’il incombe d’expliquer pièce par pièce – en étayant ses assertions avec soin – pourquoi elles ne devraient pas être communiquées à l’autorité requérante (ATF 126 II 258 consid. 9c; arrêt du Tribunal fédéral 1A.228/2006 du 11 décembre 2006, consid. 3.2; ZIMMERMANN, op. cit., no 724). Partant, cet argument ne peut être que rejeté.</w:t>
      </w:r>
    </w:p>
    <w:p>
      <w:r>
        <w:rPr>
          <w:b/>
        </w:rPr>
        <w:t>E. 3</w:t>
      </w:r>
    </w:p>
    <w:p>
      <w:r>
        <w:t>Sur le vu de ce qui précède, le recours est rejeté.</w:t>
      </w:r>
    </w:p>
    <w:p>
      <w:r>
        <w:t>- 8 -</w:t>
      </w:r>
    </w:p>
    <w:p>
      <w:r>
        <w:rPr>
          <w:b/>
        </w:rPr>
        <w:t>E. 4</w:t>
      </w:r>
    </w:p>
    <w:p>
      <w:r>
        <w:t>En règle générale, les frais de procédure comprenant l'émolument d'arrêté, les émoluments de chancellerie et les débours sont mis à la charge des parties qui succombent (art. 63 al. 1 de la loi fédérale sur la procédure administrative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fixés à CHF 5'000.-- (art. 73 al. 2 LOAP et art. 8 al. 3 du règlement du Tribunal pénal fédéral sur les frais, émoluments, dépens, et indemnités de la procédure pénale fédérale du 31 août 2010 [RFPPF; RS 173.713.162] et art. 63 al. 5 PA), entièrement couverts par l'avance de frais effectuée.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