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RR.2016.298 vom 4. April 2017</w:t>
      </w:r>
    </w:p>
    <w:p>
      <w:r>
        <w:t>Bundesstrafgericht, 2017-04-04, DE</w:t>
      </w:r>
    </w:p>
    <w:p>
      <w:r>
        <w:rPr>
          <w:b/>
        </w:rPr>
        <w:t xml:space="preserve">Quelle: </w:t>
      </w:r>
      <w:r>
        <w:t>https://mcp.opencaselaw.ch/entscheid/bstger_RR.2016.298</w:t>
      </w:r>
    </w:p>
    <w:p>
      <w:r>
        <w:t>FR: TPF RR.2016.298 du 4 avril 2017</w:t>
      </w:r>
    </w:p>
    <w:p>
      <w:r>
        <w:t>IT: TPF RR.2016.298 del 4 aprile 2017</w:t>
      </w:r>
    </w:p>
    <w:p>
      <w:pPr>
        <w:pStyle w:val="Heading2"/>
      </w:pPr>
      <w:r>
        <w:t>Regeste</w:t>
      </w:r>
    </w:p>
    <w:p>
      <w:r>
        <w:t>Internationale Rechtshilfe in Strafsachen an die Niederlande. Herausgabe von Beweismitteln (Art. 74 IRSG).</w:t>
      </w:r>
    </w:p>
    <w:p>
      <w:pPr>
        <w:pStyle w:val="Heading2"/>
      </w:pPr>
      <w:r>
        <w:t>Erwägungen</w:t>
      </w:r>
    </w:p>
    <w:p>
      <w:r>
        <w:rPr>
          <w:b/>
        </w:rPr>
        <w:t>E. 1.1</w:t>
      </w:r>
    </w:p>
    <w:p>
      <w:r>
        <w:t>Für die Rechtshilfe zwischen den Niederlanden und der Schweiz ist in erster Linie das Europäische Übereinkommen über die Rechtshilfe in Strafsachen vom 20. April 1959 (EUeR; SR 0.351.1), dem beide Staaten beigetreten sind, massgebend.</w:t>
      </w:r>
    </w:p>
    <w:p>
      <w:r>
        <w:rPr>
          <w:b/>
        </w:rPr>
        <w:t>E. 1.2</w:t>
      </w:r>
    </w:p>
    <w:p>
      <w:r>
        <w:t>Soweit dieser Staatsvertrag bestimmte Fragen weder ausdrücklich noch still- schweigend regelt, bzw. das schweizerische Landesrecht geringere Anforde- rungen an die Rechtshilfe stellt (sog. Günstigkeitsprinzip; BGE 142 IV 250 E. 3 S. 255; 140 IV 123 E. 2; 137 IV 33 E. 2.2.2; ZIMMERMANN, La coopération ju- diciaire internationale en matière pénale, 4. Aufl., Bern 2014, N. 229), sind das</w:t>
      </w:r>
    </w:p>
    <w:p>
      <w:r>
        <w:t>- 4 -</w:t>
      </w:r>
    </w:p>
    <w:p>
      <w:r>
        <w:t>Bundesgesetz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rPr>
          <w:b/>
        </w:rPr>
        <w:t>E. 1.3</w:t>
      </w:r>
    </w:p>
    <w:p>
      <w:r>
        <w:t>Auf Beschwerdeverfahren in internationalen Rechtshilfeangelegenheiten sind darüber hinaus die Bestimmungen des Bundesgesetzes vom 20. Dezember 1968 über das Verwaltungsverfahren (Verwaltungsverfahrensgesetz, VwVG; SR 172.021) anwendbar (Art. 37 Abs. 2 lit. a i.V.m. Art. 39 Abs. 2 lit. b des Bundesgesetzes vom 19. März 2010 über die Organisation der Strafbehörden des Bundes [Strafbehördenorganisationsgesetz, StBOG; SR 173.71]).</w:t>
      </w:r>
    </w:p>
    <w:p>
      <w:r>
        <w:rPr>
          <w:b/>
        </w:rPr>
        <w:t>E. 2</w:t>
      </w:r>
    </w:p>
    <w:p>
      <w:r>
        <w:t>Beim angefochtenen Entscheid handelt es sich um eine Schlussverfügung der ausführenden kantonalen Behörde, gegen welche innert 30 Tagen ab der schriftlichen Mitteilung bei der Beschwerdekammer des Bundesstrafgerichts Beschwerde geführt werden kann (Art. 80e Abs. 1 i.V.m. Art. 80k IRSG; Art. 37 Abs. 2 lit. a Ziff. 1 StBOG). Die Beschwerde wurde fristgerecht erhoben.</w:t>
      </w:r>
    </w:p>
    <w:p>
      <w:r>
        <w:rPr>
          <w:b/>
        </w:rPr>
        <w:t>E. 3.1</w:t>
      </w:r>
    </w:p>
    <w:p>
      <w:r>
        <w:t>Im Beschwerdeverfahren ist als Partei nur zuzulassen, wer partei- und pro- zessfähig und zudem im Sinne von Art. 80h IRSG zur Beschwerdeführung berechtigt ist. Die Partei- und Prozessfähigkeit bestimmen sich nach dem Zi- vilrecht, wobei rechtsfähig die natürlichen Personen sowie die juristischen Per- sonen des Privatrechts und des öffentlichen Rechts sind (MARANTELLI-SONA- NINI/HUBER, in: WALDMANN/WEISSENBERGER [Hrsg.], Praxiskommentar zum Bundesgesetz über das Verwaltungsverfahren, Zürich/Basel/Genf 2009, Art. 6 N 12 f.; KÖLZ/HÄNER, Verwaltungsverfahren und Verwaltungsrechtspflege des Bundes, Zürich 1998, 2. Aufl., N 260);</w:t>
      </w:r>
    </w:p>
    <w:p>
      <w:r>
        <w:rPr>
          <w:b/>
        </w:rPr>
        <w:t>E. 3.2</w:t>
      </w:r>
    </w:p>
    <w:p>
      <w:r>
        <w:t>Mit Eingabe vom 16. Januar 2017 teilte der Rechtsvertreter der Beschwerde- führerin mit, dass diese bereits am 1. November 2006 gelöscht worden war und belegte dies mit einem Zertifikat der British Virgin Islands Financial Ser- vices Commission (act. 7 und 7.1).</w:t>
      </w:r>
    </w:p>
    <w:p>
      <w:r>
        <w:rPr>
          <w:b/>
        </w:rPr>
        <w:t>E. 3.3</w:t>
      </w:r>
    </w:p>
    <w:p>
      <w:r>
        <w:t>Diese Löschung führt zum Verlust der Rechtspersönlichkeit der Beschwerde- führerin und zum Untergang ihrer rechtlichen Existenz als Prozesspartei (BGE 132 II 731 E. 3.1; Zirkulationsbeschluss des Kassationsgerichts des</w:t>
      </w:r>
    </w:p>
    <w:p>
      <w:r>
        <w:t>- 5 -</w:t>
      </w:r>
    </w:p>
    <w:p>
      <w:r>
        <w:t>Kantons Zürich AA090015 vom 2. Februar 2010, E. II.1.; MEIER-HAYOZ/FORST- MOSER, Schweizerisches Gesellschaftsrecht, Bern 2004, 9. Aufl., N 444). Auf die Beschwerde der Beschwerdeführerin ist daher nicht einzutreten.</w:t>
      </w:r>
    </w:p>
    <w:p>
      <w:r>
        <w:rPr>
          <w:b/>
        </w:rPr>
        <w:t>E. 3.4</w:t>
      </w:r>
    </w:p>
    <w:p>
      <w:r>
        <w:t>Da die Beschwerdeführerin bereits bei Erhebung der Beschwerde nicht partei- und prozessfähig war, braucht die Frage der Zulässigkeit der Rechtsnachfolge im Verwaltungsverfahren im Generellen und auch mit Blick auf die Beschwer- delegitimation gemäss Art. 80h IRSG nicht weiter geprüft zu werden.</w:t>
      </w:r>
    </w:p>
    <w:p>
      <w:r>
        <w:rPr>
          <w:b/>
        </w:rPr>
        <w:t>E. 4</w:t>
      </w:r>
    </w:p>
    <w:p>
      <w:r>
        <w:t>Bei diesem Ausgang des Verfahrens sind die Gerichtskosten der Beschwer- deführerin aufzuerlegen (Art. 63 Abs. 1 VwVG; vgl. dazu auch Entscheid des Bundesgerichts 1A.81/2002 vom 5. August 2002, E. 6). Die Gerichtsgebühr ist auf Fr. 1'000.-- festzusetzen (Art. 63 Abs. 5 VwVG i.V.m. Art. 73 StBOG sowie Art. 5 und 8 Abs. 3 lit. a des Reglements des Bundesstrafgerichts vom 31. Au- gust 2010 über die Kosten, Gebühren und Entschädigungen in Bundesstraf- verfahren [BStKR; SR 173.713.162]), unter Anrechnung des entsprechenden Betrages aus dem geleisteten Kostenvorschusses von Fr. 5‘000.--. Die Bun- desstrafgerichtskasse ist anzuweisen, dem Rechtsvertreter der Beschwerde- führerin den Restbetrag von Fr. 4‘000.--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