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RR.2016.282 vom 26. Mai 2017</w:t>
      </w:r>
    </w:p>
    <w:p>
      <w:r>
        <w:t>Bundesstrafgericht, 2017-05-26, DE</w:t>
      </w:r>
    </w:p>
    <w:p>
      <w:r>
        <w:rPr>
          <w:b/>
        </w:rPr>
        <w:t xml:space="preserve">Quelle: </w:t>
      </w:r>
      <w:r>
        <w:t>https://mcp.opencaselaw.ch/entscheid/bstger_RR.2016.282</w:t>
      </w:r>
    </w:p>
    <w:p>
      <w:r>
        <w:t>FR: TPF RR.2016.282 du 26 mai 2017</w:t>
      </w:r>
    </w:p>
    <w:p>
      <w:r>
        <w:t>IT: TPF RR.2016.282 del 26 maggio 2017</w:t>
      </w:r>
    </w:p>
    <w:p>
      <w:pPr>
        <w:pStyle w:val="Heading2"/>
      </w:pPr>
      <w:r>
        <w:t>Regeste</w:t>
      </w:r>
    </w:p>
    <w:p>
      <w:r>
        <w:t>Internationale Rechtshilfe in Strafsachen an Belgien. Herausgabe von Beweismitteln (Art. 74 IRSG).</w:t>
      </w:r>
    </w:p>
    <w:p>
      <w:pPr>
        <w:pStyle w:val="Heading2"/>
      </w:pPr>
      <w:r>
        <w:t>Erwägungen</w:t>
      </w:r>
    </w:p>
    <w:p>
      <w:r>
        <w:rPr>
          <w:b/>
        </w:rPr>
        <w:t>E. 1.1</w:t>
      </w:r>
    </w:p>
    <w:p>
      <w:r>
        <w:t>Für die Rechtshilfe zwischen der Schweiz und Belgien sind primär das Eu- ropäische Übereinkommen vom 20. April 1959 über die Rechtshilfe in Straf- sachen (EUeR; SR 0.351.1) und das hierzu ergangene zweite Zusatzproto- koll vom 8. November 2001 (ZPII EUeR; SR 0.351.12) massgebend. Aus- serdem gelangen die Bestimmungen der Art. 48 ff. des Übereinkommens vom 19. Juni 1990 zur Durchführung des Übereinkommens von Schengen vom 14. Juni 1985 (Schengener Durchführungsübereinkommen, SDÜ;</w:t>
      </w:r>
    </w:p>
    <w:p>
      <w:r>
        <w:t>- 4 -</w:t>
      </w:r>
    </w:p>
    <w:p>
      <w:r>
        <w:t>Abl. L 239 vom 22. September 2000, S. 19 – 62) zur Anwendung (TPF 2009 111 E. 1.2 S. 113). Diese Abkommen werden schliesslich ergänzt mit dem Übereinkommen vom 8. November 1990 über Geldwäscherei sowie Ermitt- lung, Beschlagnahme und Einziehung von Erträgen aus Straftaten (GwUe; SR 0.311.53).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 der Menschenrechte (BGE 135 IV 212 E. 2.3; 123 II 595 E. 7c S. 617; TPF 2008 24 E. 1.1 S. 26). Auf Beschwerdeverfahren in internationalen Rechts- hilfeangelegenheiten sind zudem die Bestimmungen des Bundesgesetzes vom 20. Dezember 1968 über das Verwaltungsverfahren (Verwaltungsver- 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ihrer Aufhebung oder Änderung hat (Art. 80h lit. b IRSG). Als persönlich und direkt betroffen im Sinne der Art. 21 Abs. 3 und Art. 80h lit. b IRSG gilt namentlich der Kontoinhaber bei der Er- hebung von Kontoinformationen (Art. 9a lit. a IRSV).</w:t>
      </w:r>
    </w:p>
    <w:p>
      <w:r>
        <w:rPr>
          <w:b/>
        </w:rPr>
        <w:t>E. 2.2</w:t>
      </w:r>
    </w:p>
    <w:p>
      <w:r>
        <w:t>Im Beschwerdeverfahren ist darüber hinaus als Partei nur zuzulassen, wer zum Zeitpunkt der Einreichung der Beschwerde partei- und prozessfähig ist (Urteil des Bundesverwaltungsgerichts A-5410/2012 vom 28. Mai 2013, E. 2 m.w.H.). Die Partei- und Prozessfähigkeit einer Gesellschaft richtet sich in Fällen wie dem vorliegenden praxisgemäss nach dem Recht des Staates, nach dessen Vorschriften die Gesellschaft organisiert ist, wenn sie die darin vorgeschriebenen Publizitäts- oder Registrierungsvorschriften erfüllt oder,</w:t>
      </w:r>
    </w:p>
    <w:p>
      <w:r>
        <w:t>- 5 -</w:t>
      </w:r>
    </w:p>
    <w:p>
      <w:r>
        <w:t>falls solche Vorschriften nicht bestehen, wenn sie sich nach dem Recht die- ses Staates organisiert hat (vgl. Art. 154 Abs. 1 und Art. 155 lit. c des Bun- desgesetzes vom 18. Dezember 1987 über das Internationale Privatrecht [IPRG; SR 291]; Entscheide des Bundesstrafgerichts RR.2016.232 vom</w:t>
      </w:r>
    </w:p>
    <w:p>
      <w:r>
        <w:rPr>
          <w:b/>
        </w:rPr>
        <w:t>E. 2.3</w:t>
      </w:r>
    </w:p>
    <w:p>
      <w:r>
        <w:t>Bei der Beschwerdeführerin handelt es sich um eine Gesellschaft mit Sitz auf den Bahamas. Deren Vertreter wurden am 30. November 2016 bzw. am 13. Dezember 2016 u. a. aufgefordert, einen beglaubigten, aktuellen Han- delsregisterauszug der beschwerdeführenden Gesellschaft einzureichen bzw. dessen Vorliegen glaubhaft zu machen (act. 3 und 5). Mit Eingabe vom</w:t>
      </w:r>
    </w:p>
    <w:p>
      <w:r>
        <w:rPr>
          <w:b/>
        </w:rPr>
        <w:t>E. 3</w:t>
      </w:r>
    </w:p>
    <w:p>
      <w:r>
        <w:t>Nach dem Gesagten ist auf die Beschwerde mangels hinreichend belegter Parteifähigkeit der Beschwerdeführerin nicht einzutreten.</w:t>
      </w:r>
    </w:p>
    <w:p>
      <w:r>
        <w:rPr>
          <w:b/>
        </w:rPr>
        <w:t>E. 4</w:t>
      </w:r>
    </w:p>
    <w:p>
      <w:r>
        <w:t>Bei diesem Ausgang des Verfahrens sind die Gerichtskosten der unterlie- genden Beschwerdeführerin aufzuerlegen (Art. 63 Abs. 1 VwVG). Die Ge- richtsgebühr ist auf Fr. 1'500.– festzusetzen (Art. 63 Abs. 5 VwVG i.V.m. Art. 73 StBOG sowie Art. 5 und 8 Abs. 3 lit. a des Reglements des Bun- desstrafgerichts vom 31. August 2010 über die Kosten, Gebühren und Ent- schädigungen in Bundesstrafverfahren [BStKR; SR 173.713.162]), unter An- rechnung des entsprechenden Betrages aus dem geleisteten Kostenvor- schuss von Fr. 2‘500.– (act. 3 und 6). Die Bundesstrafgerichtskasse ist an- zuweisen, den Vertretern der Beschwerdeführerin Fr. 1‘000.– zurückzuer- statten.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