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RR.2016.277 vom 7. Februar 2017</w:t>
      </w:r>
    </w:p>
    <w:p>
      <w:r>
        <w:t>Bundesstrafgericht, 2017-02-07, IT</w:t>
      </w:r>
    </w:p>
    <w:p>
      <w:r>
        <w:rPr>
          <w:b/>
        </w:rPr>
        <w:t xml:space="preserve">Quelle: </w:t>
      </w:r>
      <w:r>
        <w:t>https://mcp.opencaselaw.ch/entscheid/bstger_RR.2016.277</w:t>
      </w:r>
    </w:p>
    <w:p>
      <w:r>
        <w:t>FR: TPF RR.2016.277 du 7 février 2017</w:t>
      </w:r>
    </w:p>
    <w:p>
      <w:r>
        <w:t>IT: TPF RR.2016.277 del 7 febbraio 2017</w:t>
      </w:r>
    </w:p>
    <w:p>
      <w:pPr>
        <w:pStyle w:val="Heading2"/>
      </w:pPr>
      <w:r>
        <w:t>Regeste</w:t>
      </w:r>
    </w:p>
    <w:p>
      <w:r>
        <w:t>Assistenza giudiziaria internazionale in materia penale al Belgio.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il Belgio e la Confede- razione Svizzera sono anzitutto retti dalla Convenzione europea di assistenza giudiziaria in materia penale del 20 aprile 1959, entrata in vigore l’11 novembre 1975 per il Belgio ed il 20 marzo 1967 per la Svizzera (CEAG; RS 0.351.1), e,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è anche la Convenzione sul riciclaggio, la ricerca, il sequestro e la confisca dei proventi di reato, conclusa a Strasburgo l’8 novembre 1990, entrata in vigore il 1° settembre 1993 per la Svizzera ed il 1° maggio 1998 per il Belgio (CRic; RS 0.311.53). Alle questioni che il prevalente diritto internazionale contenuto in detti trattati non regola espressamente o implicitamente, come pure quando il diritto nazionale sia più favorevole all'assistenza rispetto a quello pattizio (cosiddetto principio di fa- vore), si applicano la legge federale sull'assistenza internazionale in materia penale del 20 marzo 1981 (AIMP; RS 351.1), unitamente alla relativa ordinanza (OAIMP; RS 351.11; v. art. 1 cpv. 1 AIMP; DTF 142 IV 250 consid. 3; 140 IV 123 consid. 2; 137 IV 33 consid. 2.2.2; 136 IV 82 consid. 3.1). Il principio di favore vale anche nell'applicazione delle pertinenti norme di diritto internazio- nale (v. art. 48 n. 2 CAS, 39 n. 3 CRic). È fatto salvo il rispetto dei diritti fonda- 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 sid. 5.2.1 e 122 II 130 consid. 2b e rinvii). Per lo stesso motivo, nel caso di documenti in possesso di terzi, soltanto questi ultimi in quanto loro possessori possono contestare il sequestro degli stessi, anche se i documenti in questione concernono un’altra persona contro la quale è pendente un procedimento pe- nale estero (DTF 137 IV 134 consid. 5.2.3; 123 II 161 consid. 1d; 116 Ib 106 consid. 2a; TPF 2007 79 consid. 1.6). Secondo la giurisprudenza, questo vale parimenti nel caso di documentazione bancaria detenuta da un avvocato o da una fiduciaria in ragione di un mandato (sentenza del Tribunale federale 1A.293/2004 del 18 marzo 2005, consid. 2.3; sentenza del Tribunale penale federale RR.2007.101 del 12 luglio 2007, consid. 2.1).</w:t>
      </w:r>
    </w:p>
    <w:p>
      <w:r>
        <w:t>- 5 -</w:t>
      </w:r>
    </w:p>
    <w:p>
      <w:r>
        <w:rPr>
          <w:b/>
        </w:rPr>
        <w:t>E. 1.5.2</w:t>
      </w:r>
    </w:p>
    <w:p>
      <w:r>
        <w:t>In concreto, la perquisizione e il sequestro della documentazione cartacea e in formato elettronico oggetto della decisione impugnata hanno avuto luogo presso gli uffici di A. SA, a Lugano, persona giuridica direttamente toccata dalla misura rogatoriale. Nella misura in cui il qui ricorrente non risulta né proprietario né locatario dei locali in questione (v. art. 9a lett. b OAIMP), la sua legittimazione ricorsuale fa chiaramente difetto (in questo ambito v. DTF 137 IV 134 con- sid. 6.2; sentenza del Tribunale penale federale RR.2015.289-290 del 13 aprile 2016 consid. 2.2.1). Va a tal proposito evidenziato che, se è vero che l’elenco previsto all’art. 9a OAIMP delle persone personalmente e direttamente toccate ai sensi degli art. 21 cpv. 3 e 80h AIMP non è esaustivo, nel caso di perquisizioni domiciliari le uniche persone legittimate a ricorrere sono il proprietario e il loca- tario dei locali perquisiti. Sia la sopraccitata giurisprudenza che la stessa lettera dell’art. 9a lett. b OAIMP non lasciano spazio a dubbi in merito, atteso che l’av- verbio “segnatamente” (“namentlich”, “notamment”) è grammaticalmente riferito all’elenco nel suo insieme e non ad ogni singolo caso elencato alle lett. a, b e c di questa stessa disposizione. La volontà del legislatore è proprio quella di de- finire, in questi tre casi tipici, le sole persone legittimate a ricorrere per garantire la certezza del diritto e la celerità della procedura (v. art. 17a AIMP e BUSSMANN, Commentario basilese, op. cit., n. 10 ad art. 80h AIMP). L’autorità d’esecuzione deve poter determinare facilmente e rapidamente le persone alle quali occorre notificare le sue decisioni (v. sentenza del Tribunale federale 1C_626/2015 dell’8 dicembre 2015, consid. 1.4). Certo la dottrina (v. BUSSMANN, op. cit., n. 40 ad art. 80h AIMP e rinvii) ammette la legittimazione a ricorrere anche di un eventuale sublocatario, mutuatario, usufruttuario o titolare di diritto di abita- zione, ma proprio per il fatto che essi sarebbero direttamente toccati alla pari del proprietario o del locatario dei locali. Il fatto che la maggior parte della do- cumentazione e dei files informatici provengano dall’ufficio del ricorrente presso la società in questione – egli ha dichiarato di essere azionista del gruppo A. e di non operare in qualità di organo formale del gruppo in parola (v. act. 1 pag. 3) – nulla muta a tale conclusione. Questo vale anche per l’account di posta elet- tronica, per altro professionale e non privato, nella misura in cui non è stato oggetto di una sorveglianza ex art. 18a AIMP (che aprirebbe una sua via ricor- suale, v. BUSSMANN, op. cit., n. 55 ad art. 80h AIMP e sentenza del Tribunale penale federale RR.2008.44 del 16 maggio 2008, consid. 1.4.1) ed i dati ivi con- tenuti sono stati direttamente ottenuti con la perquisizione degli uffici della so- cietà. Non vi è quindi ragione di trattarlo diversamente dal resto della documen- tazione raccolta durante la perquisizione in questione. Parimenti irrilevante ai fini della determinazione della legittimazione ricorsuale nel caso concreto risulta essere il suo interrogatorio in qualità di persona informata sui fatti nel contesto della cernita dei files informatici, così come il suo statuto d’imputato all’estero. Impugnata non è infatti la consegna di un verbale d’interrogatorio, ma quella della documentazione in quanto tale.</w:t>
      </w:r>
    </w:p>
    <w:p>
      <w:r>
        <w:t>- 6 -</w:t>
      </w:r>
    </w:p>
    <w:p>
      <w:r>
        <w:rPr>
          <w:b/>
        </w:rPr>
        <w:t>E. 2</w:t>
      </w:r>
    </w:p>
    <w:p>
      <w:r>
        <w:t>In definitiva, non disponendo il ricorrente della legittimazione ricorsuale, il gra- vame deve essere dichiarato inammissibile.</w:t>
      </w:r>
    </w:p>
    <w:p>
      <w:r>
        <w:rPr>
          <w:b/>
        </w:rPr>
        <w:t>E. 3</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essa è coperta dall’anticipo delle spese già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