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RR.2016.265 vom 6. April 2017</w:t>
      </w:r>
    </w:p>
    <w:p>
      <w:r>
        <w:t>Bundesstrafgericht, 2017-04-06, DE</w:t>
      </w:r>
    </w:p>
    <w:p>
      <w:r>
        <w:rPr>
          <w:b/>
        </w:rPr>
        <w:t xml:space="preserve">Quelle: </w:t>
      </w:r>
      <w:r>
        <w:t>https://mcp.opencaselaw.ch/entscheid/bstger_RR.2016.265</w:t>
      </w:r>
    </w:p>
    <w:p>
      <w:r>
        <w:t>FR: TPF RR.2016.265 du 6 avril 2017</w:t>
      </w:r>
    </w:p>
    <w:p>
      <w:r>
        <w:t>IT: TPF RR.2016.265 del 6 aprile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w:t>
      </w:r>
    </w:p>
    <w:p>
      <w:r>
        <w:t>- 4 -</w:t>
      </w:r>
    </w:p>
    <w:p>
      <w:r>
        <w:t>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Die Schlussverfügung vom 19. Oktober 2016 wurde fristgerecht an- gefochten.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 Der Beschwerdeführer ist Inhaber des von der Rechtshilfemassnahme be- troffenen Kontos Nr. 1 bei der Bank E. AG, sodass er zur vorliegenden Be- schwerde legitimiert ist. Auf die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t>- 5 -</w:t>
      </w:r>
    </w:p>
    <w:p>
      <w:r>
        <w:rPr>
          <w:b/>
        </w:rPr>
        <w:t>E. 4.1</w:t>
      </w:r>
    </w:p>
    <w:p>
      <w:r>
        <w:t>Der Beschwerdeführer rügt eine Verletzung der Verhältnismässigkeit und bringt im Wesentlichen vor, das Rechtshilfeersuchen habe sich auf die Er- mittlung des Inhabers bzw. wirtschaftlich Berechtigten des besagten Kontos bezogen. Interne Notizen der Bank sowie Unterlagen, welche Informationen zu den Kontoständen und Details von Transaktionen beinhalten, die nicht die von der Staatsanwaltschaft Braunschweig genannten Transaktionen betref- fen, seien nicht herauszugeben. Es reiche aus, auf die detaillierten Auszüge des Beschuldigten D. abzustellen. Die Einsicht in Kontounterlagen anderer Personen sei nicht nötig und bringe im Ermittlungsverfahren auch keinen Nutzen. Auch sei gegen den Beschwerdeführer bisher kein Strafverfahren eröffnet worden. Die Herausgabe der Kontoeröffnungs- und KYC-Doku- mente erfülle den Zweck des Rechtshilfeersuchens, nämlich die Ermittlung des Kontoinhabers, vollumfänglich. Mit diesen Informationen könne die Staatsanwaltschaft Braunschweig ihre Untersuchung weiterführen und bei- spielsweise den Beschwerdeführer zum Sachverhalt befragen. Sollte sich aufgrund der Befragung ein Verdacht ihm gegenüber ergeben, könne sie er- neut ein Rechtshilfeersuchen stellen und weitere Dokumente einverlangen. Eventualiter seien die Kontoauszüge Dok. 3 034 und 3 036 zu übermitteln, welche die von der Staatsanwaltschaft Braunschweig genannten vier Über- weisungen zeigen, jedoch unter Schwärzung der übrigen auf den beiden Do- kumenten ersichtlichen Buchungen.</w:t>
      </w:r>
    </w:p>
    <w:p>
      <w:r>
        <w:rPr>
          <w:b/>
        </w:rPr>
        <w:t>E. 4.2</w:t>
      </w:r>
    </w:p>
    <w:p>
      <w:r>
        <w:t>Rechtshilfemassnahmen haben generell dem Prinzip der Verhältnismässig- keit zu genügen (siehe statt vieler den Entscheid des Bundesstrafgerichts RR.2011.193 vom 9. Juli 2012, E. 8.2; DONATSCH/HEIMGARTNER/MEYER/SI- MONEK, Internationale Rechtshilfe, 2. Aufl., Zürich/Basel/Genf 2015, S. 92 ff.; POPP, Grundzüge der internationalen Rechtshilfe in Strafsachen, Basel 2001, N. 404; ZIMMERMANN, La coopération judiciaire internationale en mati- ère pénale, 4. Aufl., Bern 2014, N. 717 ff., mit Verweisen auf die Rechtspre- chung).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w:t>
      </w:r>
    </w:p>
    <w:p>
      <w:r>
        <w:t>- 6 -</w:t>
      </w:r>
    </w:p>
    <w:p>
      <w:r>
        <w:t>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 ckelt sind (BGE 129 II 462 E. 5.3 S. 468; TPF 2011 97 E. 5.1 S. 106 m.w.H.).</w:t>
      </w:r>
    </w:p>
    <w:p>
      <w:r>
        <w:rPr>
          <w:b/>
        </w:rPr>
        <w:t>E. 4.3</w:t>
      </w:r>
    </w:p>
    <w:p>
      <w:r>
        <w:t>In Anbetracht des im Rechtshilfeersuchen umschriebenen, für den Rechts- hilferichter bindenden Sachverhalts, ist die potentielle Erheblichkeit der her- auszugebenden Unterlagen für das deutsche Strafverfahren zu bejahen. Die Staatsanwaltschaft Braunschweig ersucht um Auskunft über ein Konto, auf das mutmasslich unrechtmässig ausgerichtete Provisionszahlungen über- wiesen worden seien. Gemäss dem Rechtshilfeersuchen hätten die vom Be- schuldigten D. überlassenen Unterlagen Hinweise auf weitere Konten erge- ben, auf welche Provisionszahlungen, die mutmasslich „Schmiergelder“ seien, überwiesen worden seien. Ebenso habe sich aus der Sichtung diver- ser Detailbelege der Bank F. ergeben, dass der Beschuldigte D. Provisions- zahlungen, die im Zusammenhang mit dem Auftrag 2 der G. GmbH auf das Konto Nr. 3 bei der Bank F. gezahlt und nach Abzug von 12 Prozent unter anderem auf das Konto Nr. 1 bei der Bank E. AG weitergeleitet worden seien. Dabei geht die Staatsanwaltschaft Braunschweig davon aus, dass es sich</w:t>
      </w:r>
    </w:p>
    <w:p>
      <w:r>
        <w:t>- 7 -</w:t>
      </w:r>
    </w:p>
    <w:p>
      <w:r>
        <w:t>beim Inhaber dieses Kontos um einen der tatsächlichen Empfänger der Pro- visionszahlungen handle. Der Umstand, dass D. die Gelder nach Abzug von 12 Prozent ohne Hinweis auf eine weitergehende eigene Tätigkeit weiterge- leitet habe, erhärte den Verdacht, dass er als „Strohmann“ zwischengeschal- tet worden sei, um die Identität der wahren Empfänger zu verschleiern (act. 1.3).</w:t>
      </w:r>
    </w:p>
    <w:p>
      <w:r>
        <w:rPr>
          <w:b/>
        </w:rPr>
        <w:t>E. 4.4</w:t>
      </w:r>
    </w:p>
    <w:p>
      <w:r>
        <w:t>Aufgrund des soeben ausgeführten Verdachts ist es ohne Weiteres nach- vollziehbar, dass die Staatsanwaltschaft Braunschweig unter anderem wis- sen möchte, wer Inhaber des hier zu beurteilenden Kontos Nr. 1 ist, weil vermutet wird, dass darauf unrechtmässig ausgerichtete Provisionszahlun- gen einbezahlt worden sind. Da die deutschen Behörden den Verdacht ha- ben, dass die Provisionszahlungen im Jahre 2009 geleistet wurden, ist es ebenso nachvollziehbar, dass sie nebst anderem um Kontostände des hier relevanten Kontos seit dem 1. Januar 2009 ersuchten. Den edierten Konto- auszügen lässt sich entnehmen, dass auf das besagte Konto des Beschwer- deführers im Auftrag des Beschuldigten D. im Zeitraum von 19. Januar 2009 bis 6. Oktober 2009 vier Gutschriften in der Höhe von insgesamt EUR 415‘991.91 eingegangen sind. Die deutschen Behörden werden zu prü- fen haben, ob es sich dabei um die inkriminierten Provisionszahlungen han- delt und was mit ihnen in der Folge geschah. Damit besteht ein ausreichen- der Zusammenhang zwischen den streitigen Kontoerhebungen und dem deutschen Strafverfahren. Dasselbe gilt in Bezug auf die bankinternen Noti- zen, die im Zusammenhang mit dem Konto des Beschwerdeführers stehen (Verfahrensakten, act. 3 190 bis 3 204). Die Rüge geht daher fehl.</w:t>
      </w:r>
    </w:p>
    <w:p>
      <w:r>
        <w:rPr>
          <w:b/>
        </w:rPr>
        <w:t>E. 4.5</w:t>
      </w:r>
    </w:p>
    <w:p>
      <w:r>
        <w:t>Wie vorgängig ausgeführt, ist das Rechtshilfeersuchen weit zu verstehen, um allfällige Ergänzungen des Ersuchens zu vermeiden. Dies gilt umso mehr, als es sich bei dem hier zu beurteilenden Rechtshilfeersuchen den Angaben der Beschwerdegegnerin zufolge bereits um ein zweites Ersuchen handelt. Da die deutschen Behörden mit dem Rechtshilfeersuchen die mut- masslich inkriminierten Gelder sowie deren Endempfänger zu ermitteln be- zwecken, sind den deutschen Behörden die gesamten edierten Bankunter- lagen und ohne die beantragte Schwärzung herauszugeben. Daran vermag auch das Vorbringen des Beschwerdeführers, gegen ihn sei bisher kein Strafverfahren eröffnet worden, nichts zu ändern. Wie die Beschwerdegeg- nerin zutreffend vorbringt, haben die deutschen Behörden bis dato keine Kenntnis, wer der Inhaber bzw. wirtschaftlich Berechtigte des besagten Kon- tos ist. Die Schlussverfügung ist diesbezüglich nicht zu beanstanden.</w:t>
      </w:r>
    </w:p>
    <w:p>
      <w:r>
        <w:t>- 8 -</w:t>
      </w:r>
    </w:p>
    <w:p>
      <w:r>
        <w:rPr>
          <w:b/>
        </w:rPr>
        <w:t>E. 5</w:t>
      </w:r>
    </w:p>
    <w:p>
      <w:r>
        <w:t>Die Beschwerde erweist sich nach dem Gesagten als unbegründet. Andere Hindernisse, welche der zu gewährenden Rechtshilfe entgegenstünden, sind nicht ersichtlich. Die Beschwerde ist daher vollumfänglich abzuweisen.</w:t>
      </w:r>
    </w:p>
    <w:p>
      <w:r>
        <w:rPr>
          <w:b/>
        </w:rPr>
        <w:t>E. 6</w:t>
      </w:r>
    </w:p>
    <w:p>
      <w:r>
        <w:t>Bei diesem Ausgang des Verfahrens sind die Gerichtskosten dem Be- schwerdeführer aufzuerlegen (Art. 63 Abs. 1 VwVG). Die Gerichtsgebühr ist auf Fr. 3'000.-- festzusetzen (Art. 63 Abs. 5 VwVG i.V.m. Art. 73 StBOG so- wie Art. 5 und 8 Abs. 3 lit. a des Reglements des Bundesstrafgerichts vom 31. August 2010 über die Kosten, Gebühren und Entschädigungen in Bun- desstrafverfahren [BStKR; SR 173.713.162]), unter Anrechnung des geleis- teten Kostenvorschusses in der Höhe von Fr. 4'000.--. Die Bundesstrafge- richtskasse ist anzuweisen, dem Beschwerdeführer Fr. 1'000.-- zurückzuer- 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