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RR.2016.259 vom 14. Dezember 2016</w:t>
      </w:r>
    </w:p>
    <w:p>
      <w:r>
        <w:t>Bundesstrafgericht, 2016-12-14, DE</w:t>
      </w:r>
    </w:p>
    <w:p>
      <w:r>
        <w:rPr>
          <w:b/>
        </w:rPr>
        <w:t xml:space="preserve">Quelle: </w:t>
      </w:r>
      <w:r>
        <w:t>https://mcp.opencaselaw.ch/entscheid/bstger_RR.2016.259</w:t>
      </w:r>
    </w:p>
    <w:p>
      <w:r>
        <w:t>FR: TPF RR.2016.259 du 14 décembre 2016</w:t>
      </w:r>
    </w:p>
    <w:p>
      <w:r>
        <w:t>IT: TPF RR.2016.259 del 14 dicembre 2016</w:t>
      </w:r>
    </w:p>
    <w:p>
      <w:pPr>
        <w:pStyle w:val="Heading2"/>
      </w:pPr>
      <w:r>
        <w:t>Regeste</w:t>
      </w:r>
    </w:p>
    <w:p>
      <w:r>
        <w:t>Auslieferung an Deutschland. Auslieferungsentscheid (Art. 55 IRSG).</w:t>
      </w:r>
    </w:p>
    <w:p>
      <w:pPr>
        <w:pStyle w:val="Heading2"/>
      </w:pPr>
      <w:r>
        <w:t>Erwägungen</w:t>
      </w:r>
    </w:p>
    <w:p>
      <w:r>
        <w:rPr>
          <w:b/>
        </w:rPr>
        <w:t>E. 1.1</w:t>
      </w:r>
    </w:p>
    <w:p>
      <w:r>
        <w:t>Für den Auslieferungsverkehr zwischen der Schweiz und Deutschland sind primär das Europäische Auslieferungsübereinkommen vom 13. Dezem- ber 1957 (EAUe; SR 0.353.1), die hierzu ergangenen Zusatzprotokolle vom 17. März 1978 (ZPII EAUe; SR 0.353.12) und vom 10. November 2010 (ZPIII EAUe; SR 0.353.13), welchen beide Staaten beigetreten sind, sowie der Ver- trag vom 13. November 1969 zwischen der Schweizerischen Eidgenossen- schaft und der Bundesrepublik Deutschland über die Ergänzung des EAUe und die Erleichterung seiner Anwendung (ZV EAUe; SR 0.353.913.61) massgebend.</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142 IV 250 E. 3; 140 IV 123 E. 2 S. 126; 137 IV 33 E. 2.2.2 S. 40 f.; jeweils m.w.H.). Vorbe- halten bleibt die Wahrung der Menschenrechte (BGE 135 IV 212 E. 2.3; 123 II 595 E. 7c S. 617; TPF 2008 24 E. 1.1 S. 26). Auf Beschwerdeverfahren in internationalen Rechtshilfeangelegenheiten sind zudem die Bestimmungen des Bundesgesetzes vom 20. Dezember 1968 über das Verwaltungsverfah- 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Entscheides bei der Beschwerdekammer des Bundesstrafgerichts Beschwerde geführt werden (Art. 55 Abs. 3 i.V.m. Art. 25 Abs. 1 IRSG; Art. 50 Abs. 1 VwVG).</w:t>
      </w:r>
    </w:p>
    <w:p>
      <w:r>
        <w:rPr>
          <w:b/>
        </w:rPr>
        <w:t>E. 2.2</w:t>
      </w:r>
    </w:p>
    <w:p>
      <w:r>
        <w:t>Der Auslieferungsentscheid vom 3. November 2016 ist dem damaligen Rechtsvertreter des Beschwerdeführers am 4. November 2016 zugestellt worden (act. 7.11), womit die Beschwerde vom 8. November 2016 mit nach- gereichter Begründung vom 22. November 2016 fristgerecht erhoben wor-</w:t>
      </w:r>
    </w:p>
    <w:p>
      <w:r>
        <w:t>- 4 -</w:t>
      </w:r>
    </w:p>
    <w:p>
      <w:r>
        <w:t>den ist. Der Beschwerdeführer ist als Adressat des Auslieferungsentschei- des ohne Weiteres zu dessen Anfechtung legitimiert. Auf die Beschwerde ist einzutreten.</w:t>
      </w:r>
    </w:p>
    <w:p>
      <w:r>
        <w:rPr>
          <w:b/>
        </w:rPr>
        <w:t>E. 3</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 Entscheide des Bundesstrafgerichts RR.2015.190 vom 5. November 2015, E. 3; RR.2015.195 vom 20. Oktober 2015, E. 3).</w:t>
      </w:r>
    </w:p>
    <w:p>
      <w:r>
        <w:rPr>
          <w:b/>
        </w:rPr>
        <w:t>E. 4.1</w:t>
      </w:r>
    </w:p>
    <w:p>
      <w:r>
        <w:t>Der Beschwerdeführer macht geltend, er habe seit dem Tod seines Vaters keinen Bezug mehr zu Deutschland. Jedoch habe er Verwandte, welche im Kanton Solothurn wohnhaft seien. Er möchte daher seine Haftstrafe in der Schweiz verbüssen können (act. 5, S. 2).</w:t>
      </w:r>
    </w:p>
    <w:p>
      <w:r>
        <w:rPr>
          <w:b/>
        </w:rPr>
        <w:t>E. 4.2</w:t>
      </w:r>
    </w:p>
    <w:p>
      <w:r>
        <w:t>Gemäss Art. 37 Abs. 1 IRSG kann die Auslieferung abgelehnt werden, wenn die Schweiz die Vollstreckung des ausländischen Strafentscheides überneh- men kann und dies im Hinblick auf die soziale Wiedereingliederung des Ver- folgten angezeigt erscheint. Eine Auslieferung darf nach ständiger Recht- sprechung in Fällen, in welchen wie vorliegend das EAUe Anwendung findet, allerdings nicht gestützt auf Art. 37 Abs. 1 IRSG verweigert werden (BGE 129 II 100 E. 3.1; 123 II 279 E. 2d S. 283; 122 II 485 E. 3a, b; vgl. zuletzt u. a. die Entscheide des Bundesstrafgerichts RR.2015.309 vom 12. Januar 2016, E. 3.3; RR.2015.266 vom 11. Dezember 2015, E. 5).</w:t>
      </w:r>
    </w:p>
    <w:p>
      <w:r>
        <w:rPr>
          <w:b/>
        </w:rPr>
        <w:t>E. 4.3</w:t>
      </w:r>
    </w:p>
    <w:p>
      <w:r>
        <w:t>Da vorliegend eine Auslieferungsverpflichtung nach EAUe besteht, kann sich der Beschwerdeführer im Lichte der vorstehend erläuterten, klaren und kon- stanten Rechtsprechung nicht auf Art. 37 Abs. 1 IRSG berufen.</w:t>
      </w:r>
    </w:p>
    <w:p>
      <w:r>
        <w:rPr>
          <w:b/>
        </w:rPr>
        <w:t>E. 5.1</w:t>
      </w:r>
    </w:p>
    <w:p>
      <w:r>
        <w:t>Weiter führt der Beschwerdeführer aus, es wäre eine enorme seelische Be- lastung für ihn, wenn er die Strafe in Deutschland verbüssen müsste und Selbstmordgedanken wären nicht ausgeschlossen (act. 5, S. 2).</w:t>
      </w:r>
    </w:p>
    <w:p>
      <w:r>
        <w:rPr>
          <w:b/>
        </w:rPr>
        <w:t>E. 5.2</w:t>
      </w:r>
    </w:p>
    <w:p>
      <w:r>
        <w:t>Insofern der Beschwerdeführer damit sinngemäss geltend machen will, er sei nicht hafterstehungsfähig, ist Folgendes festzuhalten: Ist die auszulie- fernde Person nicht hafterstehungsfähig, so kann das Bundesamt gemäss</w:t>
      </w:r>
    </w:p>
    <w:p>
      <w:r>
        <w:t>- 5 -</w:t>
      </w:r>
    </w:p>
    <w:p>
      <w:r>
        <w:t>Art. 47 Abs. 2 IRSG anstelle der Haft andere Massnahmen zu seiner Siche- rung anordnen. Die fehlende Hafterstehungsfähigkeit steht einer Ausliefe- rung allerdings nicht entgegen. So sehen weder die anwendbaren Staats- verträge noch das IRSG die Möglichkeit vor, eine Auslieferung aus gesund- heitlichen Gründen zu verweigern (Urteile des Bundesgerichts 1C_170/2016 vom 22. April 2016, E. 1.2; 1C_274/2015 vom 12. August 2015, E. 7). Nach ständiger Rechtsprechung kann daher ein Auslieferungsersuchen nicht we- gen des schlechten Gesundheitszustands des Verfolgten abgelehnt werden. Es ist Sache des ersuchenden Staates dafür zu sorgen, dass die auszulie- fernde Person eine angemessene medizinische Behandlung bekommt und ihrem Gesundheitszustand entsprechend untergebracht oder allenfalls, mangels Hafterstehungsfähigkeit, aus der Haft entlassen wird (Urteile des Bundesgerichts 1C_316/2016 vom 13. Juli 2016, E. 2; 1A.47/2005 vom 12. April 2005, E. 3.1).</w:t>
      </w:r>
    </w:p>
    <w:p>
      <w:r>
        <w:rPr>
          <w:b/>
        </w:rPr>
        <w:t>E. 6</w:t>
      </w:r>
    </w:p>
    <w:p>
      <w:r>
        <w:t>Weitere Auslieferungshindernisse werden weder geltend gemacht, noch sind solche ersichtlich. Die Beschwerde ist daher abzuweisen.</w:t>
      </w:r>
    </w:p>
    <w:p>
      <w:r>
        <w:rPr>
          <w:b/>
        </w:rPr>
        <w:t>E. 7</w:t>
      </w:r>
    </w:p>
    <w:p>
      <w:r>
        <w:t>Bei diesem Ausgang des Verfahrens sind die Gerichtskosten dem Be- schwerdeführer aufzuerlegen (Art. 63 Abs. 1 VwVG). Die Gerichtsgebühr ist auf Fr. 500.– festzusetzen (Art. 63 Abs. 5 VwVG i.V.m. Art. 73 StBOG sowie Art. 5 und 8 Abs. 3 lit. a des Reglements des Bundesstrafgerichts vom 31. August 2010 über die Kosten, Gebühren und Entschädigungen in Bun- 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