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RR.2016.258 vom 7. Dezember 2016</w:t>
      </w:r>
    </w:p>
    <w:p>
      <w:r>
        <w:t>Bundesstrafgericht, 2016-12-07, DE</w:t>
      </w:r>
    </w:p>
    <w:p>
      <w:r>
        <w:rPr>
          <w:b/>
        </w:rPr>
        <w:t xml:space="preserve">Quelle: </w:t>
      </w:r>
      <w:r>
        <w:t>https://mcp.opencaselaw.ch/entscheid/bstger_RR.2016.258</w:t>
      </w:r>
    </w:p>
    <w:p>
      <w:r>
        <w:t>FR: TPF RR.2016.258 du 7 décembre 2016</w:t>
      </w:r>
    </w:p>
    <w:p>
      <w:r>
        <w:t>IT: TPF RR.2016.258 del 7 dicembre 2016</w:t>
      </w:r>
    </w:p>
    <w:p>
      <w:pPr>
        <w:pStyle w:val="Heading2"/>
      </w:pPr>
      <w:r>
        <w:t>Regeste</w:t>
      </w:r>
    </w:p>
    <w:p>
      <w:r>
        <w:t>Internationale Rechtshilfe in Strafsachen an die Ukraine. Beschlagnahme von Vermögenswerten (Art. 80e Abs. 2 lit. a IRSG).</w:t>
      </w:r>
    </w:p>
    <w:p>
      <w:pPr>
        <w:pStyle w:val="Heading2"/>
      </w:pPr>
      <w:r>
        <w:t>Erwägungen</w:t>
      </w:r>
    </w:p>
    <w:p>
      <w:r>
        <w:rPr>
          <w:b/>
        </w:rPr>
        <w:t>E. 1</w:t>
      </w:r>
    </w:p>
    <w:p>
      <w:r>
        <w:t>November 2016 mit Beschwerde vom 10. November 2016 an die Beschwer- dekammer des Bundesstrafgerichts gelangt ist (act. 1); sie neben diversen An- trägen zur Hauptsache den Antrag auf Aufhebung der Kontosperre stellt;</w:t>
      </w:r>
    </w:p>
    <w:p>
      <w:r>
        <w:t>- aus den nachfolgenden Gründen auf die Durchführung eines Schriftenwech- sels verzichtet wurde (Art. 39 Abs. 2 lit. b des Bundesgesetzes vom 19. März 2010 über die Organisation der Strafbehörden des Bundes [StBOG; SR 173.71] i.V.m. Art. 57 Abs. 1 des Bundesgesetzes vom 20. Dezember 1968 über das Verwaltungsverfahren [VwVG; SR 172.021]);</w:t>
      </w:r>
    </w:p>
    <w:p>
      <w:r>
        <w:t>- die Verfügung der ausführenden kantonalen Behörde oder der ausführenden Bundesbehörde, mit der das Rechtshilfeverfahren abgeschlossen wird, zusam- men mit den vorangehenden Zwischenverfügungen der Beschwerde an die Beschwerdekammer des Bundesstrafgerichts unterliegt (Art. 80e Abs. 1 des Bundesgesetzes vom 20. März 1981 über internationale Rechtshilfe in Straf- sachen [IRSG; SR 351.1]; Art. 37 Abs. 2 lit. a StBOG; Art. 19 Abs. 1 des Orga- nisationsreglements für das Bundesstrafgericht vom 31. August 2010 [Organi- sationsreglement BStGer, BStGerOG; SR 173.713.161]);</w:t>
      </w:r>
    </w:p>
    <w:p>
      <w:r>
        <w:t>- gemäss Art. 80e Abs. 2 IRSG der Schlussverfügung vorangehende Zwischen- verfügungen selbständig angefochten werden können, sofern sie einen unmit- telbaren und nicht wieder gutzumachenden Nachteil bewirken: a. durch die Be- schlagnahme von Vermögenswerten und Wertgegenständen; oder b. durch die Anwesenheit von Personen, die am ausländischen Prozess beteiligt sind;</w:t>
      </w:r>
    </w:p>
    <w:p>
      <w:r>
        <w:t>- 3 -</w:t>
      </w:r>
    </w:p>
    <w:p>
      <w:r>
        <w:t>- die Beschwerdeführerin in ihrer Beschwerdeschrift mit keinem Wort geltend macht und entsprechend auch nicht dartut und belegt, die im Rechtshilfever- fahren angeordnete Vermögenssperre würde einen unmittelbaren und nicht wieder gutzumachenden Nachteil im Sinne von Art. 80e Abs. 2 lit. a IRSG be- wirken;</w:t>
      </w:r>
    </w:p>
    <w:p>
      <w:r>
        <w:t>- die angefochtene Verfügung zwar eine falsche Rechtsmittelbelehrung enthält; darin als Rechtsmittel die Beschwerde nach Art. 393 der Schweizerischen Strafprozessordnung vom 5. Oktober 2007 (StPO; SR 312.0) statt nach Art. 80e Abs. 2 IRSG angegeben wurde;</w:t>
      </w:r>
    </w:p>
    <w:p>
      <w:r>
        <w:t>- aus mangelhafter Eröffnung den Parteien kein Nachteil erwachsen darf (Art. 38 VwVG i.V.m. Art. 39 Abs. 2 lit. b StBOG; Grundsatz von Treu und Glauben);</w:t>
      </w:r>
    </w:p>
    <w:p>
      <w:r>
        <w:t>- sich auf den Grundsatz von Treu und Glauben nicht berufen kann, wer aber die Unrichtigkeit der Rechtsmittelbelehrung erkannte oder bei zumutbarer Sorgfalt hätte erkennen müssen (statt vieler BGE 129 II 125 E. 3.3);</w:t>
      </w:r>
    </w:p>
    <w:p>
      <w:r>
        <w:t>- Rechtsuchende keinen Vertrauensschutz geniessen, wenn sie bzw. ihr Rechtsvertreter den Mangel allein schon durch Konsultierung der massgebli- chen Verfahrensbestimmung hätten erkennen können (BGE 129 II 125 E. 3.3);</w:t>
      </w:r>
    </w:p>
    <w:p>
      <w:r>
        <w:t>- der Rechtsvertreter der Beschwerdeführerin der angefochtenen Verfügung entnehmen konnte, dass diese in einem Rechtshilfeverfahren zur Unterstüt- zung eines Strafverfahrens im Ausland ergangen war; namentlich aufgrund des darin erwähnten ukrainischen Straftatbestandes, des Titels „Von der Rechtshilfe betroffene Gesellschaft“ und der Kurzbegründung er wissen musste, dass ein solches Rechtshilfeverfahren durch das IRSG und nicht durch die StPO geregelt wird;</w:t>
      </w:r>
    </w:p>
    <w:p>
      <w:r>
        <w:t>- er mit einem Blick ins Gesetz hätte erkennen müssen, dass nach Art. 80e Abs. 2 lit. a IRSG die Zwischenverfügung betreffend Beschlagnahme von Ver- mögenswerten angefochten werden kann, sofern sie einen unmittelbaren und nicht wieder gutzumachenden Nachteil bewirkt; er sich daher hätte bewusst sein müssen, dass er in der Beschwerde den unmittelbaren und nicht wieder gutzumachenden Nachteil darzulegen gehabt hätte;</w:t>
      </w:r>
    </w:p>
    <w:p>
      <w:r>
        <w:t>- nach dem Gesagten sich der Rechtsvertreter bzw. die Beschwerdeführerin nicht auf den Vertrauensschutz berufen kann;</w:t>
      </w:r>
    </w:p>
    <w:p>
      <w:r>
        <w:t>- demnach auf die Beschwerde der Beschwerdeführerin nicht einzutreten ist; bei diesem Prüfungsergebnis auf die Rügen in der Sache nicht einzugehen ist;</w:t>
      </w:r>
    </w:p>
    <w:p>
      <w:r>
        <w:t>- 4 -</w:t>
      </w:r>
    </w:p>
    <w:p>
      <w:r>
        <w:t>- mit der Bezahlung des Kostenvorschusses das eventualiter gestellte Gesuch um Gewährung der unentgeltlichen Rechtsvertretung und/oder Prozessfüh- rung hinfällig geworden ist (s. act. 3 und 4);</w:t>
      </w:r>
    </w:p>
    <w:p>
      <w:r>
        <w:t>- bei diesem Ausgang des Verfahrens die Beschwerdeführerin kostenpflichtig wird (Art. 63 Abs. 1 VwVG i.V.m. Art. 39 Abs. 2 lit. b StBOG); für die Berech- nung der Gerichtsgebühr gemäss Art. 63 Abs. 5 VwVG das Reglement des Bundesstrafgerichts vom 31. August 2010 über die Kosten, Gebühren und Ent- schädigungen in Bundesstrafverfahren (BStKR; SR 173.713.162) zur Anwen- dung gelangt; die Gerichtsgebühr vorliegend auf Fr. 2'000.-- anzusetzen ist, unter Anrechnung des entsprechenden Betrages aus dem geleisteten Kosten- vorschuss in der der Höhe von Fr. 5'000.-- (Art. 63 Abs. 4bis lit. b VwVG; Art. 5 und Art. 8 Abs. 3 lit. b BStKR); die Bundesstrafgerichtskasse anzuweisen ist, der Beschwerdeführerin den Restbetrag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