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RR.2016.250 vom 17. Februar 2017</w:t>
      </w:r>
    </w:p>
    <w:p>
      <w:r>
        <w:t>Bundesstrafgericht, 2017-02-17, IT</w:t>
      </w:r>
    </w:p>
    <w:p>
      <w:r>
        <w:rPr>
          <w:b/>
        </w:rPr>
        <w:t xml:space="preserve">Quelle: </w:t>
      </w:r>
      <w:r>
        <w:t>https://mcp.opencaselaw.ch/entscheid/bstger_RR.2016.250</w:t>
      </w:r>
    </w:p>
    <w:p>
      <w:r>
        <w:t>FR: TPF RR.2016.250 du 17 février 2017</w:t>
      </w:r>
    </w:p>
    <w:p>
      <w:r>
        <w:t>IT: TPF RR.2016.250 del 17 febbraio 2017</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del Tribunale penale federale giudica i gravami in ma- 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 blicato nella RS ma ora consultabile nel fascicolo "Assistenza e estradizione" edito dalla Cancelleria federale, Berna 2014). Di rilievo nella fattispecie è anche la Convenzione sul riciclaggio, la ricerca, il sequestro e la confisca dei proventi di reato, conclusa a Strasburgo l’8 novembre 1990, entrata in vigore il 1° set- 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pattizio (co- siddetto principio di favore), si applicano la legge federale sull'assistenza inter- nazionale in materia penale del 20 marzo 1981 (AIMP; RS 351.1), unitamente alla relativa ordinanza (OAIMP; RS 351.11; v. art. 1 cpv. 1 AIMP, art. I n. 2</w:t>
      </w:r>
    </w:p>
    <w:p>
      <w:r>
        <w:t>- 4 -</w:t>
      </w:r>
    </w:p>
    <w:p>
      <w:r>
        <w:t>Accordo italo-svizzero; DTF 142 IV 250 consid. 3; 140 IV 123 consid. 2; 137 IV 33 consid. 2.2.2; 136 IV 82 consid. 3.1). Il principio di favore vale anche nell'ap- plicazione delle pertinenti norme di diritto internazionale (v. art. 48 n. 2 CAS, 39 n. 3 CRic e art. I n. 2 Accordo italo-svizzero).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Basilea 2015, n. 1 e segg. ad art. 12 AIMP), di cui al precedente considerando.</w:t>
      </w:r>
    </w:p>
    <w:p>
      <w:r>
        <w:rPr>
          <w:b/>
        </w:rPr>
        <w:t>E. 1.4</w:t>
      </w:r>
    </w:p>
    <w:p>
      <w:r>
        <w:t>Interposto tempestivamente contro la sopraccitata decisione di chiusura, il ri- corso è ricevibile sotto il profilo degli art. 25 cpv. 1, 80e cpv. 1 e 80k AIMP. Nella misura in cui la perquisizione ed il sequestro sono avvenuti nei suoi uffici, la ricorrente è legittimate a ricorrere (v. art. 9a lett. b OAIMP; TPF 2007 79 consid.</w:t>
      </w:r>
    </w:p>
    <w:p>
      <w:r>
        <w:rPr>
          <w:b/>
        </w:rPr>
        <w:t>E. 1.6</w:t>
      </w:r>
    </w:p>
    <w:p>
      <w:r>
        <w:t>pag. 82).</w:t>
      </w:r>
    </w:p>
    <w:p>
      <w:r>
        <w:rPr>
          <w:b/>
        </w:rPr>
        <w:t>E. 2</w:t>
      </w:r>
    </w:p>
    <w:p>
      <w:r>
        <w:t>La società ricorrente si oppone alla trasmissione dei documenti già citati (v. lett. D supra), a suo dire inutili per il procedimento estero, dato che si riferi- rebbero a due mandati che non hanno avuto alcun seguito.</w:t>
      </w:r>
    </w:p>
    <w:p>
      <w:r>
        <w:rPr>
          <w:b/>
        </w:rPr>
        <w:t>E. 2.1</w:t>
      </w:r>
    </w:p>
    <w:p>
      <w:r>
        <w:t>La questione di sapere se le informazioni richieste nell'ambito di una domanda di assistenza siano necessarie o utili per il procedimento estero deve essere lasciata, di massima, all'apprezzamento delle autorità richiedenti. Lo Stato ri- chiesto non dispone infatti dei mezzi per pronunciarsi sull'opportunità di assu- mere determinate prove e non può sostituirsi in questo compito all'autorità estera che conduce le indagini (DTF 132 II 81 consid. 2.1 e rinvii). La richiesta di assunzione di prove può essere rifiutata solo se il principio della proporzio- nalità sia manifestamente disatteso (DTF 120 Ib 251 consid. 5c; sentenze del Tribunale penale federale RR.2008.154-157 dell'11 settembre 2008, con- sid. 3.1; RR.2007.18 del 21 maggio 2007, consid. 6.3) o se la domanda appaia abusiva, le informazioni richieste essendo del tutto inidonee a far progredire le indagini (DTF 122 II 134 consid. 7b; 121 II 241 consid. 3a). Inoltre, da consoli- data prassi, quando le autorità estere chiedono informazioni per ricostruire flussi patrimoniali di natura criminale si ritiene che necessitino di regola l’integralità della relativa documentazione, in modo tale da scoprire tutte le persone o entità giuridiche coinvolte (v. DTF 129 II 462 consid. 5.5; 124 II 180 consid. 3c inedito; 121 II 241 consid. 3b e c; sentenze del Tribunale federale 1A.177/2006 del 10 dicembre 2007, consid. 5.5; 1A.227/2006 del 22 febbraio 2007, consid. 3.2; 1A.195/2005 del 1° settembre 2005 in fine). La trasmissione dell'intera docu- mentazione potrà evitare altresì l'inoltro di eventuali domande complementari</w:t>
      </w:r>
    </w:p>
    <w:p>
      <w:r>
        <w:t>- 5 -</w:t>
      </w:r>
    </w:p>
    <w:p>
      <w:r>
        <w:t>(DTF 136 IV 82 consid. 4.1; 121 II 241 consid. 3; sentenza del Tribunale fede- rale 1C_486/2008 dell'11 novembre 2008, consid. 2.4; sentenza del Tribunale penale federale RR.2011.113 del 28 luglio 2011, consid. 4.2). In base alla giu- risprudenza l'esame da parte delle autorità di esecuzione e del giudice dell’as- sistenza va limitato alla cosiddetta utilità potenziale, secondo cui la consegna giusta l'art. 74 AIMP è esclusa soltanto per quei mezzi di prova certamente privi di rilevanza per il procedimento penale all'estero (DTF 126 II 258 consid. 9c; 122 II 367 consid. 2c; 121 II 241 consid. 3a e b).</w:t>
      </w:r>
    </w:p>
    <w:p>
      <w:r>
        <w:rPr>
          <w:b/>
        </w:rPr>
        <w:t>E. 2.2</w:t>
      </w:r>
    </w:p>
    <w:p>
      <w:r>
        <w:t>In concreto, l’autorità rogante ha perquisito diverse società in Italia riconducibili a B., tra cui E. SA. L’esame della documentazione contabile ha permesso di evidenziare l’esistenza di fatture pagate dalla predetta società tra il 2009 ed il 2012, considerate sospette per l’importo e l’oggetto della prestazione. Trattasi in particolare di 13 fatture per un importo complessivo di EUR 1'048'091.22 emesse da H. Limited, con sede in Inghilterra, nei confronti di E. SA aventi come causale “12% del fatturato prodotto da E. SA”. L’autorità rogante ipotizza che si tratti di fatture relative ad operazioni inesistenti finalizzate allo spostamento all’estero di consistenti somme di denaro, sia a scopo di costituire fondi occulti da utilizzare per la corruzione di pubblici funzionari, sia al fine di trasferire pro- venti del delitto di appropriazione indebita aggravata ai danni delle società, ar- ricchite grazie a vantaggi derivanti dalla corruzione dei pubblici funzionari, che di frodi ai danni dello Stato realizzate mediante annotazione di fatture relative a operazioni inesistenti. La documentazione acquisita unitamente alle fatture rite- nute false ha consentito di accertare l’utilizzo di un numero di fax svizzero per le comunicazioni tra E. SA e H. Limited, numero risultato intestato a A. SA, la quale avrebbe gestito i rapporti tra le due società. Alla luce di ciò, contraria- mente a quanto sostenuto nel ricorso, non si può negare l’utilità potenziale dei due documenti litigiosi. Si tratta infatti di due contratti di mandato sottoscritti dall’indagata B. con F. Ltd. (v. doc. MPC 0028-0030) e con la ricorrente stessa (v. doc. MPC 0031-0045), per cui a prescindere dal seguito che sarebbe stato dato a tali contratti non si può escludere che possa comunque emergere un nesso con i fatti corruttivi in questione. Spetta del resto all’autorità estera che conduce le indagini accertare se con la sottoscrizione di tali mandati l’indagata abbia voluto o meno utilizzare questi veicoli societari per scopi criminali. Poco importa il seguito effettivo a loro dato, ciò che conta è verificare la loro poten- ziale appartenenza al disegno criminale nel suo complesso, fatto questo che non si può a questo stadio certamente escludere.</w:t>
      </w:r>
    </w:p>
    <w:p>
      <w:r>
        <w:t>Quanto precede permette quindi di confermare la sufficiente relazione tra la mi- sura d'assistenza richiesta e l'oggetto del procedimento penale estero. Ne di- scende che la decisione impugnata è conforme ai principi giurisprudenziali qui sopra esposti (v. supra consid. 2.1) e non disattende in alcun modo né il princi- pio della proporzionalità né quello dell’utilità potenziale.</w:t>
      </w:r>
    </w:p>
    <w:p>
      <w:r>
        <w:t>- 6 -</w:t>
      </w:r>
    </w:p>
    <w:p>
      <w:r>
        <w:rPr>
          <w:b/>
        </w:rPr>
        <w:t>E. 3</w:t>
      </w:r>
    </w:p>
    <w:p>
      <w:r>
        <w:t>In definitiva, la decisione impugnata va integralmente confermata ed il gravame respinto.</w:t>
      </w:r>
    </w:p>
    <w:p>
      <w:r>
        <w:rPr>
          <w:b/>
        </w:rPr>
        <w:t>E. 4</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essa è coperta dall’anticipo delle spese già versato.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