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RR.2016.230 vom 18. November 2016</w:t>
      </w:r>
    </w:p>
    <w:p>
      <w:r>
        <w:t>Bundesstrafgericht, 2016-11-18, FR</w:t>
      </w:r>
    </w:p>
    <w:p>
      <w:r>
        <w:rPr>
          <w:b/>
        </w:rPr>
        <w:t xml:space="preserve">Quelle: </w:t>
      </w:r>
      <w:r>
        <w:t>https://mcp.opencaselaw.ch/entscheid/bstger_RR.2016.230</w:t>
      </w:r>
    </w:p>
    <w:p>
      <w:r>
        <w:t>FR: TPF RR.2016.230 du 18 novembre 2016</w:t>
      </w:r>
    </w:p>
    <w:p>
      <w:r>
        <w:t>IT: TPF RR.2016.230 del 18 novembre 2016</w:t>
      </w:r>
    </w:p>
    <w:p>
      <w:pPr>
        <w:pStyle w:val="Heading2"/>
      </w:pPr>
      <w:r>
        <w:t>Regeste</w:t>
      </w:r>
    </w:p>
    <w:p>
      <w:r>
        <w:t>Extradition au Portugal. Décision d'extradition (art. 55 EIMP).</w:t>
      </w:r>
    </w:p>
    <w:p>
      <w:pPr>
        <w:pStyle w:val="Heading2"/>
      </w:pPr>
      <w:r>
        <w:t>Erwägungen</w:t>
      </w:r>
    </w:p>
    <w:p>
      <w:r>
        <w:rPr>
          <w:b/>
        </w:rPr>
        <w:t>E. 1</w:t>
      </w:r>
    </w:p>
    <w:p>
      <w:r>
        <w:t>La décision par laquelle l’OFJ accorde l’extradition (art. 55 al. 1 EIMP) peut faire l’objet d’un recours devant la Cour des plaintes du Tribunal pénal fédé- ral (art. 55 al. 3 et 25 al. 1 EIMP). L’extradable a qualité pour recourir au sens de l’art. 21 al. 3 EIMP (ATF 122 II 373 consid. 1b; 118 Ib 269 consid. 2d). Formé dans les trente jours à compter de la notification de la décision d’ex- tradition (art. 50 al. 1 de la loi fédérale sur la procédure administrative [PA; RS 172.021], applicable par renvoi de l'art. 39 al. 2 let. b de la loi fédérale sur l'organisation des autorités pénales de la Confédération [LOAP; RS 173.71]), le recours est recevable.</w:t>
      </w:r>
    </w:p>
    <w:p>
      <w:r>
        <w:rPr>
          <w:b/>
        </w:rPr>
        <w:t>E. 2</w:t>
      </w:r>
    </w:p>
    <w:p>
      <w:r>
        <w:t>Les procédures d'extradition entre la Suisse et le Portugal sont prioritaire- 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48 ss de la Conven- tion d’application de l’Accord de Schengen du 14 juin 1985 (CAAS; n° CELEX 42000A0922[02]; Journal officiel de l’Union européenne L 239 du 22 septembre 2000, p. 19-62; publication de la Chancellerie fédérale, «En- traide et extradition») s’appliquent également à l’entraide pénale entre la Suisse et le Portugal (v. arrêt du Tribunal pénal fédéral RR.2008.98 du 18 décembre 2008, consid. 1.3).</w:t>
      </w:r>
    </w:p>
    <w:p>
      <w:r>
        <w:t>Pour le surplus, la loi fédérale sur l'entraide internationale en matière pénale (EIMP; RS 351.1) et son ordonnance d'exécution (OEIMP; RS 351.11) rè- glent les questions qui ne sont pas régies, explicitement ou implicitement, par les traités (ATF 130 II 337 consid. 1; 128 II 355 consid. 1 et la jurispru- dence citée). Le droit interne s'applique en outre lorsqu'il est plus favorable à l'octroi de l’extradition que les traités (ATF 140 IV 123 consid. 2; 137 IV 33 consid. 2.2.2; 136 IV 82 consid. 3.1; 129 II 462 consid. 1.1; 122 II 140 con- sid. 2); l'application de la norme la plus favorable (principe dit «de faveur») doit avoir lieu dans le respect des droits fondamentaux (ATF 135 IV 212 con- sid. 2.3).</w:t>
      </w:r>
    </w:p>
    <w:p>
      <w:r>
        <w:rPr>
          <w:b/>
        </w:rPr>
        <w:t>E. 3.1</w:t>
      </w:r>
    </w:p>
    <w:p>
      <w:r>
        <w:t>Dans un premier grief, le recourant se plaint d’une violation des art. 6 CEDH et 3 du deuxième protocole additionnel à la CEExtr, arguant que la décision de révocation du sursis à l’exécution de la peine du 10 mars 2010 a été ren- due en son absence.</w:t>
      </w:r>
    </w:p>
    <w:p>
      <w:r>
        <w:t>- 4 -</w:t>
      </w:r>
    </w:p>
    <w:p>
      <w:r>
        <w:rPr>
          <w:b/>
        </w:rPr>
        <w:t>E. 3.2</w:t>
      </w:r>
    </w:p>
    <w:p>
      <w:r>
        <w:t>Cette argumentation tombe à faux. En effet, les dispositions convention- nelles en cause ne s’appliquent qu’aux procédures de jugement, et non à celles concernant la révocation du sursis (arrêt du Tribunal fédéral 1A.287/2003 du 23 janvier 2003, consid. 3.2; arrêts du Tribunal pénal fédéral RR.2008.64 du 22 mai 2008, consid. 4.5 et RR.2007.172 du 29 novembre 2007, consid. 3.4). C’est le lieu de préciser que le recourant ne cherche au- cunement à remettre en question la jurisprudence développée dans les ar- rêts qui viennent d’être cités.</w:t>
      </w:r>
    </w:p>
    <w:p>
      <w:r>
        <w:rPr>
          <w:b/>
        </w:rPr>
        <w:t>E. 4.1</w:t>
      </w:r>
    </w:p>
    <w:p>
      <w:r>
        <w:t>Le recourant soutient encore que son extradition serait contraire à l’art. 8 CEDH. Une telle mesure l’empêcherait selon lui d’entretenir les liens familiaux, protégés par cette disposition conventionnelle, qu’il entretient avec ses deux enfants en bas âge ainsi qu’avec sa compagne et mère de ceux- ci, lesquels résident tous en Suisse.</w:t>
      </w:r>
    </w:p>
    <w:p>
      <w:r>
        <w:rPr>
          <w:b/>
        </w:rPr>
        <w:t>E. 4.2</w:t>
      </w:r>
    </w:p>
    <w:p>
      <w:r>
        <w:t>Toute personne a droit au respect de sa vie privée et familiale, de son domi- cile et de sa correspondance (art. 8 par. 1 CEDH). Il ne peut y avoir ingé- 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 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 valide à 100% et enceinte d'un troisième enfant, dans un état anxio-dépressif</w:t>
      </w:r>
    </w:p>
    <w:p>
      <w:r>
        <w:t>- 5 -</w:t>
      </w:r>
    </w:p>
    <w:p>
      <w:r>
        <w:t>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 tionnel et n'entrait pas en ligne de compte dans d'autres circonstances (ex- tradition requise pour une poursuite et non une exécution de peine, co- auteurs ou complices poursuivis à l'étranger et empêchant un jugement en Suisse, circonstances familiales différentes; arrêt du Tribunal fédéral 1A.9/2001 du 16 février 2001, consid. 3c).</w:t>
      </w:r>
    </w:p>
    <w:p>
      <w:r>
        <w:rPr>
          <w:b/>
        </w:rPr>
        <w:t>E. 4.3</w:t>
      </w:r>
    </w:p>
    <w:p>
      <w:r>
        <w:t>En l’espèce, le recourant n’avance pas le moindre élément qui justifierait le refus de son extradition au regard des considérations qui précèdent. En par- ticulier, il n’allègue pas que cette mesure serait susceptible d’entraîner une détérioration de l’état de santé de l’un ou l’autre des membres de sa famille résidant en Suisse. Le second grief soulevé est ainsi mal fondé.</w:t>
      </w:r>
    </w:p>
    <w:p>
      <w:r>
        <w:rPr>
          <w:b/>
        </w:rPr>
        <w:t>E. 5</w:t>
      </w:r>
    </w:p>
    <w:p>
      <w:r>
        <w:t>Il s’ensuit que le recours est mal fondé.</w:t>
      </w:r>
    </w:p>
    <w:p>
      <w:r>
        <w:rPr>
          <w:b/>
        </w:rPr>
        <w:t>E. 6</w:t>
      </w:r>
    </w:p>
    <w:p>
      <w:r>
        <w:t>Le recourant requiert l'assistance judiciaire. Selon l'art. 65 al. 1 PA, la partie qui ne dispose pas de ressources suffisantes et dont les conclusions ne pa- raissent pas d'emblée vouées à l'échec est, à sa demande, dispensée de payer les frais de procédure. Tel n'est pas le cas en l'espèce. Les griefs sou- levés à l'appui du recours se sont en effet avérés manifestement infondés eu égard aux principes légaux et jurisprudentiels applicables en la matière. L'assistance judiciaire doit partant être refusée.</w:t>
      </w:r>
    </w:p>
    <w:p>
      <w:r>
        <w:rPr>
          <w:b/>
        </w:rPr>
        <w:t>E. 7</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 der des parties, de leur situation financière et des frais de chancellerie (art. 73 al. 2 LOAP). Le recourant supportera les frais du présent arrêt, les- quels seront réduits en raison du fait que l’intéressé se trouve en détention et donc actuellement sans revenu. Leur montant sera en l'espèce arrêté à CHF 800.-- (art. 73 al. 2 LOAP et art. 8 al. 3 du règlement du Tribunal pénal fédéral sur les frais, émoluments, dépens, et indemnités de la procédure pé- nale fédérale [RFPPF; RS 173.713.162] et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