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RR.2016.209 vom 2. Mai 2017</w:t>
      </w:r>
    </w:p>
    <w:p>
      <w:r>
        <w:t>Bundesstrafgericht, 2017-05-02, FR</w:t>
      </w:r>
    </w:p>
    <w:p>
      <w:r>
        <w:rPr>
          <w:b/>
        </w:rPr>
        <w:t xml:space="preserve">Quelle: </w:t>
      </w:r>
      <w:r>
        <w:t>https://mcp.opencaselaw.ch/entscheid/bstger_RR.2016.209</w:t>
      </w:r>
    </w:p>
    <w:p>
      <w:r>
        <w:t>FR: TPF RR.2016.209 du 2 mai 2017</w:t>
      </w:r>
    </w:p>
    <w:p>
      <w:r>
        <w:t>IT: TPF RR.2016.209 del 2 maggio 2017</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et 19 al. 1 du règlement sur l’organisation du Tribunal pénal fédéral (ROTPF; RS 173.713.161), la Cour des plaintes du Tribunal pénal fédéral est compétente pour connaître des recours dirigés contre les ordonnances de clôture de la procédure d’entraide rendues par l’autorité fédérale ou cantonale d’exécution.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w:t>
      </w:r>
    </w:p>
    <w:p>
      <w:r>
        <w:t>- 5 -</w:t>
      </w:r>
    </w:p>
    <w:p>
      <w:r>
        <w:t>pénal fédéral RR.2008.190 du 26 février 2009, consid. 1; RR.2008.216 + RR.2008.225-230 du 20 novembre 2008, consid. 1.2; MOSER/BEUSCH/KNEUBÜHLER, Prozessieren vor dem Bundes- verwaltungsgericht, 2e éd. 2013, § 3.17, p. 144 s.). En l’espèce, il se justifie de joindre les causes RR.2016.209, 214 et 217, ce d’autant que les recourantes ne font pas valoir d’intérêts contradictoires qui commanderaient un prononcé séparé et que le même avocat est mandaté dans toutes les causes.</w:t>
      </w:r>
    </w:p>
    <w:p>
      <w:r>
        <w:rPr>
          <w:b/>
        </w:rPr>
        <w:t>E. 1.2</w:t>
      </w:r>
    </w:p>
    <w:p>
      <w:r>
        <w:t>S'agissant de la requête de suspension (v. supra let. G), force est de relever qu'elle a été retirée par le MPC (v. supra let. H). En outre, si les recourantes l'ont, en réplique, reprise à leur compte, elles se contentent de soutenir qu'il serait "opportun de suspendre la présente procédure jusqu'à droit jugé dans le pays Y. concernant l'extradition de D." (act. 30, p. 14). De simples motifs d'opportunité, au demeurant non étayés, ne sauraient fonder une suspension de la procédure d'entraide, au sujet de laquelle le respect du principe de célérité revêt une importance particulière (v. art. 17a EIMP). Mal fondée, la requête ne peut qu'être rejetée.</w:t>
      </w:r>
    </w:p>
    <w:p>
      <w:r>
        <w:rPr>
          <w:b/>
        </w:rPr>
        <w:t>E. 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2.1</w:t>
      </w:r>
    </w:p>
    <w:p>
      <w:r>
        <w:t>Le délai de recours contre la décision de clôture est de 30 jours dès la communication écrite de celle-ci (art. 80k EIMP). Ledit délai a en l'espèce été respecté de sorte que les recours sont, sous cet angle, recevables.</w:t>
      </w:r>
    </w:p>
    <w:p>
      <w:r>
        <w:rPr>
          <w:b/>
        </w:rPr>
        <w:t>E. 2.2</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118Ib 547 consid. 1d).</w:t>
      </w:r>
    </w:p>
    <w:p>
      <w:r>
        <w:t>- 6 -</w:t>
      </w:r>
    </w:p>
    <w:p>
      <w:r>
        <w:rPr>
          <w:b/>
        </w:rPr>
        <w:t>E. 2.2.1</w:t>
      </w:r>
    </w:p>
    <w:p>
      <w:r>
        <w:t>Les sociétés A. Ltd et B. Inc. sont bel et bien les titulaires respectives des comptes visés par les décisions de clôture les concernant, de sorte que leur qualité pour recourir à cet égard ne prête pas à discussion. Tel n'est en revanche pas le cas de C. dont il est avéré qu'elle n'est pas une entité revêtue de la personnalité juridique. De l'aveu même des parties à la présente procédure, C. ne correspond qu'au seul nom du compte no 2 auprès de la banque F., dont la titulaire est la dénommée H. Or seule peut se prévaloir de la capacité d'ester en justice – pendant procédural de l'exercice des droits civils (arrêt du Tribunal fédéral 4A_339/2009 du 17 novembre 2009, consid. 2 non publié in ATF 135 III 614) – une entité dotée de la personnalité juridique (physique ou morale). Le recours formé au nom de C. l'a été au nom d'une entité inexistante, ce qui ne peut conduire qu'au prononcé d'irrecevabilité dudit recours. Le fait que la décision de clôture soit – malencontreusement – entachée d'une erreur et indique faussement que la recourante serait la titulaire du compte en question ne change rien au constat qui précède, dès lors que le conseil de ladite recourante aurait dû s'assurer que la procuration qu'il s'est fait délivrer émanait d'organes habilités à ce faire. Pareil mode de procéder, auquel il ne saurait être dérogé, aurait permis d'identifier immédiatement le problème et de former le recours au nom de la titulaire effective du compte.</w:t>
      </w:r>
    </w:p>
    <w:p>
      <w:r>
        <w:rPr>
          <w:b/>
        </w:rPr>
        <w:t>E. 2.2.2</w:t>
      </w:r>
    </w:p>
    <w:p>
      <w:r>
        <w:t>Si, enfin, un doute subsiste quant à l'existence effective de la recourante B. Inc. au moment du dépôt de son recours, cette dernière n'ayant pas été en mesure – contrairement à la recourante A. Ltd (v. supra let. F) – de produire de document officiel attestant ce fait, le sort finalement réservé au fond de la cause permet de laisser indécise la question de la recevabilité de son recours.</w:t>
      </w:r>
    </w:p>
    <w:p>
      <w:r>
        <w:rPr>
          <w:b/>
        </w:rPr>
        <w:t>E. 2.3</w:t>
      </w:r>
    </w:p>
    <w:p>
      <w:r>
        <w:t>Les recours ne sont ainsi recevables que dans la mesure précisée au considérant précédent.</w:t>
      </w:r>
    </w:p>
    <w:p>
      <w:r>
        <w:rPr>
          <w:b/>
        </w:rPr>
        <w:t>E. 3</w:t>
      </w:r>
    </w:p>
    <w:p>
      <w:r>
        <w:t>Par un grief d'ordre formel qu'il convient de traiter en premier lieu, les recourantes se plaignent d'une violation de leur droit d'être entendues. La documentation bancaire visée par les décisions de clôture ici entreprises ne leur aurait été remise par le MPC qu'en date du 29 septembre 2016, alors que le délai de recours arrivait à échéance le 10 octobre 2016. Elles n'auraient partant pas disposé d'un délai raisonnable pour se déterminer au sujet de l'étendue de la transmission ordonnée (act. 24, p. 7).</w:t>
      </w:r>
    </w:p>
    <w:p>
      <w:r>
        <w:t>La recevabilité d'un tel grief est douteuse du fait qu'il n'a été formulé qu'en réplique (v. arrêt du Tribunal fédéral 1A.6/2006 du 15 mai 2006, consid. 1.2). Quoi qu'il en soit, il se révèle manifestement mal fondé, dès lors que le</w:t>
      </w:r>
    </w:p>
    <w:p>
      <w:r>
        <w:t>- 7 -</w:t>
      </w:r>
    </w:p>
    <w:p>
      <w:r>
        <w:t>conseil – d'alors – des recourantes ne s'est constitué auprès du MPC qu'en date du 26 septembre 2016. Avant cette date, l'autorité d'exécution n'avait pas à notifier quelque acte que ce soit directement aux recourantes, et ce dès lors qu'elles n'ont pas de siège en Suisse et n'avaient pas élu de domicile de notification. En effet, en application des principes jurisprudentiels bien établis en lien avec les art. 80m EIMP et 9 OEIMP applicables dans le domaine de l'entraide pénale, lorsque la partie habite à l’étranger et qu’elle ne désigne pas de domicile de notification en Suisse, la notification des actes s'opère par l'intermédiaire de l'établissement bancaire abritant les comptes visés par l'exécution de l'entraide (v. arrêt du Tribunal pénal fédéral RR.2011.216-224 du 1er février 2012, consid. 1.3.1). Pareil constat suffit à sceller le sort du grief.</w:t>
      </w:r>
    </w:p>
    <w:p>
      <w:r>
        <w:rPr>
          <w:b/>
        </w:rPr>
        <w:t>E. 4</w:t>
      </w:r>
    </w:p>
    <w:p>
      <w:r>
        <w:t>Dans un grief suivant, les recourantes se prévalent d’une violation du principe de la double incrimination. Elles estiment en substance que les faits allégués par la demande d’entraide ne seraient aucunement constitutifs, en droit suisse, de corruption d'agents publics (art. 322quater CP), l'entreprise Petrobras n'étant que "semi-étatique" (act. 1, p. 7 ss).</w:t>
      </w:r>
    </w:p>
    <w:p>
      <w:r>
        <w:rPr>
          <w:b/>
        </w:rPr>
        <w:t>E. 4.1.1</w:t>
      </w:r>
    </w:p>
    <w:p>
      <w:r>
        <w:t>Selon l'art. 28 EIMP – qui pose en la matière des exigences équivalentes à celles de l'art. 24 du traité –,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cet Etat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t>- 8 -</w:t>
      </w:r>
    </w:p>
    <w:p>
      <w:r>
        <w:rPr>
          <w:b/>
        </w:rPr>
        <w:t>E. 4.1.2</w:t>
      </w:r>
    </w:p>
    <w:p>
      <w:r>
        <w:t>La remise de documents bancaires est une mesure de contrainte au sens de l’art. 63 al. 2 let. c EIMP, qui ne peut être ordonnée, selon l’art. 64 al. 1 EIMP, que si l’état de fait exposé dans la demande correspond, prima facie, aux éléments objectifs d’une infraction réprimée par le droit suisse. L'art. 6 du traité pose la même exigence.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rPr>
          <w:b/>
        </w:rPr>
        <w:t>E. 4.2.1</w:t>
      </w:r>
    </w:p>
    <w:p>
      <w:r>
        <w:t>Les recourantes ne contestent pas que la demande d'entraide brésilienne est suffisamment précise sur les éléments mettant en exergue des actes de corruption. Elles s'en prennent uniquement au fait qu'il ne s'agirait pas, au regard du droit suisse, de corruption d'agents publics, et ce dans la mesure où les personnes présumées avoir reçu des pots-de-vins de la part de D. (v. supra let. A in fine) ne sauraient être assimilées à des fonctionnaires au vu du caractère uniquement "semi-étatique" de l'entreprise Petrobras (act. 1, p. 7 ss).</w:t>
      </w:r>
    </w:p>
    <w:p>
      <w:r>
        <w:t>La question n'a, dans le domaine de l'entraide, pas la portée que tentent de lui prêter les recourantes. En effet, le comportement des personnes soupçonnées au Brésil, en qualité d'employés de l'entreprise E., consistant en l'acceptation d'avantages indus pour l'exécution d'actes en relation avec leur activité professionnelle ou commerciale et qui étaient contraires à leurs devoirs en tant qu'employés, réalise à première vue les conditions objectives de l’infraction de corruption passive privée, au sens de l’art. 4a al. 1 let. a LCD mis en relation avec l'art. 23 LCD (v. arrêt du Tribunal pénal fédéral RR.2012.73 du 23 novembre 2012, consid. 3.2.2). Un tel constat suffit pour conclure que la condition de la double incrimination est dûment remplie dans le cas d'espèce. Le grief tiré de la violation de ce principe doit partant être rejeté.</w:t>
      </w:r>
    </w:p>
    <w:p>
      <w:r>
        <w:rPr>
          <w:b/>
        </w:rPr>
        <w:t>E. 5</w:t>
      </w:r>
    </w:p>
    <w:p>
      <w:r>
        <w:t>Les recourantes se plaignent ensuite d’une violation du principe de la proportionnalité, et ce sous deux angles. D'une part, la demande d'entraide</w:t>
      </w:r>
    </w:p>
    <w:p>
      <w:r>
        <w:t>- 9 -</w:t>
      </w:r>
    </w:p>
    <w:p>
      <w:r>
        <w:t>brésilienne constituerait une "recherche indéterminée" (act. 1, p. 9 ss); d'autre part – et partant –, il n'existerait pas de "lien de connexité entre les pièces saisies et les faits allégués" (act. 1, p. 12 ss).</w:t>
      </w:r>
    </w:p>
    <w:p>
      <w:r>
        <w:rPr>
          <w:b/>
        </w:rPr>
        <w:t>E. 5.1.1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étrangères.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(ATF 136 IV 82 consid. 4; arrêt du Tribunal fédéral 1C_582/2015 du 10 novembre 2015, consid. 1.4). C'est en effet le propre de l'entraide de favoriser la découverte de faits, d'informations et de moyens de preuve, y compris ceux dont l'autorité de poursuite étrangère n'a pas connaissance (arrêt du Tribunal pénal fédéral RR.2009.320 du 2 février 2010, consid. 4.1; ZIMMERMANN, La coopération judiciaire internationale en matière pénale, 4e éd. 2014, n° 723).</w:t>
      </w:r>
    </w:p>
    <w:p>
      <w:r>
        <w:rPr>
          <w:b/>
        </w:rPr>
        <w:t>E. 5.1.2</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 Par ailleurs, 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véritable devoir de collaboration incombe au détenteur (arrêt du Tribunal fédéral 1A.216/2001 du 21 mars 2002, consid. 3.1; ATF 130 II 14 consid. 4.3).</w:t>
      </w:r>
    </w:p>
    <w:p>
      <w:r>
        <w:rPr>
          <w:b/>
        </w:rPr>
        <w:t>E. 5.2.1</w:t>
      </w:r>
    </w:p>
    <w:p>
      <w:r>
        <w:t>Comme rappelé plus haut, l’autorité requérante enquête sur les agissements de D. (v. supra let. A), soupçonné d’avoir participé à un vaste schéma de corruption d'employés de l'entreprise semi-étatique Petrobras. Son rôle</w:t>
      </w:r>
    </w:p>
    <w:p>
      <w:r>
        <w:t>- 10 -</w:t>
      </w:r>
    </w:p>
    <w:p>
      <w:r>
        <w:t>présumé consistait à jouer l'intermédiaire lors du paiement de pots-de-vin, dont le montant est chiffré à plusieurs millions de dollars par l'autorité requérante, et ce notamment afin que soient favorisées certaines sociétés en lien avec l'adjudication d'importants marchés publics. Dans ce contexte, les autorités brésiliennes ont mis à jour le fait que D. utilisait un vaste réseau de sociétés offshore pour faire transiter les fonds corruptifs. Des comptes bancaires ouverts notamment aux noms des sociétés recourantes A. Ltd et B. Inc. ont été identifiés auprès de la banque I. dans le pays Z. Par ailleurs, dans son complément du 5 octobre 2015, l'autorité requérante a indiqué avoir identifié un numéro de compte ouvert au nom de la société J. auprès de la banque F. à Genève. Or il s'est avéré que D. n'était autre que l'ayant droit économique dudit compte.</w:t>
      </w:r>
    </w:p>
    <w:p>
      <w:r>
        <w:t>Sur le vu de ces éléments, il appert que l’autorité requérante a des raisons fondées de soupçonner qu’une partie des montants corruptifs susmentionnés aurait transité par des comptes suisses, précisément à Genève, et notamment par des relations ouvertes aux noms de sociétés offshore dont D. est l'ayant droit économique. Dans ces conditions, force est d’admettre qu’il existe un rapport objectif entre les recourantes, respectivement les deux comptes litigieux dont D. est l'ayant droit économique, d’une part, et les infractions faisant l’objet de l’investigation brésilienne, d’autre part. Le fait que la procédure à l'étranger ne soit pas dirigée contre les recourantes elles-mêmes ne constitue pas un obstacle à l’entraide.</w:t>
      </w:r>
    </w:p>
    <w:p>
      <w:r>
        <w:rPr>
          <w:b/>
        </w:rPr>
        <w:t>E. 5.2.2</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commettre des infractions pénales (corruption),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frauduleux mis en place par les personnes sous enquête au Brésil.</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w:t>
      </w:r>
    </w:p>
    <w:p>
      <w:r>
        <w:t>- 11 -</w:t>
      </w:r>
    </w:p>
    <w:p>
      <w:r>
        <w:t>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p. 673 s.).</w:t>
      </w:r>
    </w:p>
    <w:p>
      <w:r>
        <w:rPr>
          <w:b/>
        </w:rPr>
        <w:t>E. 5.2.3</w:t>
      </w:r>
    </w:p>
    <w:p>
      <w:r>
        <w:t>Sur le vu des considérations qui précèdent, force est en définitive de retenir qu'il existe un lien de connexité entre l'enquête brésilienne et les informations bancaires relatives aux recourantes. Aussi, la transmission de la documentation bancaire ordonnée par le MPC n'est-elle pas manifestement impropre à faire progresser l'enquête brésilienne. Il s’ensuit que le grief tiré de la violation du principe de la proportionnalité n’est pas fondé et doit être rejeté. Quant à la problématique du tri des pièces, la Cour constate que les recourantes n'ont pas satisfait à leur devoir de coopération, omettant d'indiquer avec précision à l’autorité quels documents ne devraient pas, selon elle, être transmis et pour quels motifs (v. supra consid. 5.1.2 in fine).</w:t>
      </w:r>
    </w:p>
    <w:p>
      <w:r>
        <w:rPr>
          <w:b/>
        </w:rPr>
        <w:t>E. 5.3</w:t>
      </w:r>
    </w:p>
    <w:p>
      <w:r>
        <w:t>Vu l’ensemble des éléments qui précèdent, le grief tiré d’une prétendue vio- lation du principe de la proportionnalité se révèle, lui aussi, mal fondé.</w:t>
      </w:r>
    </w:p>
    <w:p>
      <w:r>
        <w:rPr>
          <w:b/>
        </w:rPr>
        <w:t>E. 6</w:t>
      </w:r>
    </w:p>
    <w:p>
      <w:r>
        <w:t>Les griefs invoqués sous let. e. et f. du mémoire de recours respectivement libellés "Risques liés à l'Etat requérant" et "Manque de protections procédurales au Brésil" se rapportent tous deux à la situation politico- juridique prévalant dans l'Etat requérant. Ils reviennent en définitive à invoquer l'art. 3 al. 1 let. f du traité, aux termes duquel l'entraide pourra être refusée "s'il existe des raisons sérieuses de croire que la procédure pénale contre la personne poursuivie ne respecte pas les garanties prévues par les instruments internationaux de protection des droits de l'homme, en particulier dans le Pacte international du 16 décembre 1966 relatif aux droits civils et politiques". La disposition en question correspond en substance à la règle que le législateur suisse a ancrée à l'art. 2 let. a EIMP.</w:t>
      </w:r>
    </w:p>
    <w:p>
      <w:r>
        <w:t>- 12 -</w:t>
      </w:r>
    </w:p>
    <w:p>
      <w:r>
        <w:t>Selon la jurisprudence du Tribunal fédéral, seules les personnes physiques sont habilitées à invoquer l'art. 2 EIMP (v. ATF 129 II 268 consid. 6 et les références citées). Il en va de même s'agissant de l'invocation de l'art. 3 al. 1 let. f du traité (arrêt du Tribunal fédéral 1C_376/2016 du 5 octobre 2016, consid. 2.2 in fine). La Cour de céans a, dans une décision de principe récente, admis qu'une personne morale peut toutefois exceptionnellement se fonder sur l'art. 2 EIMP, respectivement sur les dispositions des traités identiques en substance, à la condition qu'elle soit elle-même prévenue dans la procédure étrangère (arrêt du Tribunal pénal fédéral RR.2015.318 du 1er juin 2016, consid. 4 destiné à publication). Il ne ressort en l'espèce pas du dossier que les recourantes rempliraient cette condition; celles-ci ne l'allèguent d'ailleurs aucunement. Pareil constat suffit à sceller le sort du grief, lequel doit être déclaré irrecevable.</w:t>
      </w:r>
    </w:p>
    <w:p>
      <w:r>
        <w:rPr>
          <w:b/>
        </w:rPr>
        <w:t>E. 7</w:t>
      </w:r>
    </w:p>
    <w:p>
      <w:r>
        <w:t>Dans un dernier moyen, les recourantes invoquent un "[r]isque manifeste de violation du principe de la spécialité" (act. 1, p. 16 s.). La seule mention de la réserve de la spécialité au pied de la décision entreprise ne serait pas suffisante.</w:t>
      </w:r>
    </w:p>
    <w:p>
      <w:r>
        <w:t>En l'occurrence, les sociétés recourantes sont des établissements ayant leurs sièges respectifs dans les Îles Vierges britanniques. Elles ne prétendent pas qu'elles seraient au nombre des personnes directement concernées par les éventuelles démarches – prohibées, respectivement soumises à autorisation en vertu de la réserve de la spécialité – que pourrait entreprendre l'Etat brésilien sur la base des documents obtenus par la voie de l'entraide pénale. Ainsi formulé, le grief est irrecevable en tant qu'il émane desdites sociétés recourantes (v. arrêt du Tribunal pénal fédéral RR.2007.118 du 30 octobre 2007, consid. 6; v. également ZIMMERMANN, op. cit., no 726).</w:t>
      </w:r>
    </w:p>
    <w:p>
      <w:r>
        <w:rPr>
          <w:b/>
        </w:rPr>
        <w:t>E. 8</w:t>
      </w:r>
    </w:p>
    <w:p>
      <w:r>
        <w:t>Au vu des considérants qui précèdent, les recours doivent être rejetés dans la mesure où ils sont recevables.</w:t>
      </w:r>
    </w:p>
    <w:p>
      <w:r>
        <w:rPr>
          <w:b/>
        </w:rPr>
        <w:t>E. 9</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recourantes supporteront ainsi les frais du présent arrêt, lesquels sont</w:t>
      </w:r>
    </w:p>
    <w:p>
      <w:r>
        <w:t>- 13 -</w:t>
      </w:r>
    </w:p>
    <w:p>
      <w:r>
        <w:t>fixés à CHF 6'000.-- (art. 73 al. 2 LOAP et art. 8 al. 3 du règlement du Tribunal pénal fédéral sur les frais, émoluments, dépens, et indemnités de la procédure pénale fédérale du 31 août 2010 [RFPPF; RS 173.713.162] et art. 63 al. 5 PA), couverts par l'avance de frais totale de CHF 7'500.-- déjà versée. La caisse du Tribunal pénal fédéral restituera au conseil des recourantes le solde par CHF 1'500.--.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