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RR.2016.196 vom 5. Oktober 2016</w:t>
      </w:r>
    </w:p>
    <w:p>
      <w:r>
        <w:t>Bundesstrafgericht, 2016-10-05, DE</w:t>
      </w:r>
    </w:p>
    <w:p>
      <w:r>
        <w:rPr>
          <w:b/>
        </w:rPr>
        <w:t xml:space="preserve">Quelle: </w:t>
      </w:r>
      <w:r>
        <w:t>https://mcp.opencaselaw.ch/entscheid/bstger_RR.2016.196</w:t>
      </w:r>
    </w:p>
    <w:p>
      <w:r>
        <w:t>FR: TPF RR.2016.196 du 5 octobre 2016</w:t>
      </w:r>
    </w:p>
    <w:p>
      <w:r>
        <w:t>IT: TPF RR.2016.196 del 5 ottobre 2016</w:t>
      </w:r>
    </w:p>
    <w:p>
      <w:pPr>
        <w:pStyle w:val="Heading2"/>
      </w:pPr>
      <w:r>
        <w:t>Regeste</w:t>
      </w:r>
    </w:p>
    <w:p>
      <w:r>
        <w:t>Internationale Rechtshilfe in Strafsachen an Luxemburg. Ablehnung des Siegelungsgesuchs. Aufschiebende Wirkung (Art. 80l IRSG).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Juli 2016 zugestellt werden konnte, womit sich die am 18. Septem- ber 2016 in ihrem Namen der Post aufgegebene Beschwerde als offensicht- lich verspätet erweist;</w:t>
      </w:r>
    </w:p>
    <w:p>
      <w:r>
        <w:t>- eine Mitteilung, die nur gegen Unterschrift eines Adressaten oder einer an- deren berechtigten Person überbracht wird, spätestens am siebenten Tag nach dem ersten erfolglosen Zustellungsversuch als erfolgt gilt (Art. 20 Abs. 2bis VwVG);</w:t>
      </w:r>
    </w:p>
    <w:p>
      <w:r>
        <w:t>- diese Zustellungsfiktion u. a. voraussetzt, dass der Adressat mit der fragli- chen Zustellung hatte rechnen müssen (BGE 141 II 429 E. 3.1 S. 431 f.; 134 V 49 E. 4 S. 52; Entscheid des Bundesstrafgerichts RR.2014.189 vom 17. Juli 2014);</w:t>
      </w:r>
    </w:p>
    <w:p>
      <w:r>
        <w:t>- vorliegend die Mitteilung an den Beschwerdeführer 1 als Reaktion auf seinen schriftlich gestellten Antrag vom 7. Juli 2016 erfolgte, er somit zweifelsohne mit deren Zustellung hat rechnen müssen;</w:t>
      </w:r>
    </w:p>
    <w:p>
      <w:r>
        <w:t>- am 15. Juli 2016 der Beschwerdeführer durch Avis im Postfach zur Abholung der Mitteilung eingeladen wurde, er die entsprechende Frist jedoch unge- nutzt verstreichen liess;</w:t>
      </w:r>
    </w:p>
    <w:p>
      <w:r>
        <w:t>- 4 -</w:t>
      </w:r>
    </w:p>
    <w:p>
      <w:r>
        <w:t>- bei dieser Ausgangslage die Zustellfiktion von Art. 20 Abs. 2bis VwVG zur Anwendung gelangt, weshalb sich auch die im Namen des Beschwerdefüh- rers 1 am 18. September 2016 der Post aufgegebene Beschwerde als offen- sichtlich verspätet erweist;</w:t>
      </w:r>
    </w:p>
    <w:p>
      <w:r>
        <w:t>- sich die Beschwerde nach dem Gesagten als offensichtlich unzulässig er- weist, weshalb auf diese ohne Durchführung eines Schriftenwechsels nicht einzutreten ist (Art. 57 Abs. 1 VwVG e contrario);</w:t>
      </w:r>
    </w:p>
    <w:p>
      <w:r>
        <w:t>- bei diesem Ausgang des Verfahrens das mit Beschwerde gestellte Gesuch um Gewährung der aufschiebenden Wirkung als gegenstandslos abzu- schreiben ist;</w:t>
      </w:r>
    </w:p>
    <w:p>
      <w:r>
        <w:t>- die Gerichtskosten den unterliegenden Beschwerdeführern aufzuerlegen sind (Art. 63 Abs. 1 VwVG);</w:t>
      </w:r>
    </w:p>
    <w:p>
      <w:r>
        <w:t>- die Gerichtsgebühr festzusetzen ist auf Fr. 500.– (Art. 63 Abs. 5 VwVG i.V.m. Art. 73 StBOG sowie Art. 5 und 8 Abs. 3 lit. a des Reglements des Bun- desstrafgerichts vom 31. August 2010 über die Kosten, Gebühren und Ent- 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